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640"/>
      </w:tblGrid>
      <w:tr>
        <w:tc>
          <w:tcPr>
            <w:tcW w:type="dxa" w:w="8640"/>
            <w:shd w:val="clear" w:fill="0F172A"/>
          </w:tcPr>
          <w:p>
            <w:r>
              <w:rPr>
                <w:b/>
                <w:color w:val="5EEAD4"/>
                <w:sz w:val="22"/>
              </w:rPr>
              <w:t>CATALYST AI · AI 药物研发智能体</w:t>
              <w:br/>
            </w:r>
            <w:r>
              <w:rPr>
                <w:b/>
                <w:color w:val="FFFFFF"/>
                <w:sz w:val="52"/>
              </w:rPr>
              <w:t>Discovery Dossier</w:t>
            </w:r>
          </w:p>
        </w:tc>
      </w:tr>
    </w:tbl>
    <w:p>
      <w:r>
        <w:rPr>
          <w:i/>
          <w:color w:val="334155"/>
          <w:sz w:val="26"/>
        </w:rPr>
        <w:t>Write a complete target dossier IN ENGLISH (the entire report, every section and heading, in English) assessing HER2 (ERBB2) as a drug target in HER2-LOW breast cancer, with specific focus on the antibody-drug conjugate (ADC) modality. Cover target identity and validation; on-target safety and class effects; the clinical pipeline and competitive landscape (approved and Phase I-III assets across geographies, with status); biomarkers and companion diagnostics; the addressable population and unmet need. Close with a '## Conclusion &amp; Recommendation' section that states, on its OWN LINE, exactly 'Recommendation: GO' (or 'Recommendation: WATCH' / 'Recommendation: NO-GO'), then a 'Decision flippers:' list and a 'Risk register:' list. Write the entire report in English.</w:t>
      </w:r>
    </w:p>
    <w:p>
      <w:r>
        <w:rPr>
          <w:color w:val="525F6F"/>
          <w:sz w:val="16"/>
        </w:rPr>
        <w:t>Run agent-samplee1ebde  ·  status: completed  ·  model: anthropic/claude-opus-4.8  ·  iterations: 60  ·  generated: 2026-06-16 02:35 UTC</w:t>
      </w:r>
    </w:p>
    <w:tbl>
      <w:tblPr>
        <w:tblW w:type="auto" w:w="0"/>
        <w:tblLook w:firstColumn="1" w:firstRow="1" w:lastColumn="0" w:lastRow="0" w:noHBand="0" w:noVBand="1" w:val="04A0"/>
      </w:tblPr>
      <w:tblGrid>
        <w:gridCol w:w="2160"/>
        <w:gridCol w:w="2160"/>
        <w:gridCol w:w="2160"/>
        <w:gridCol w:w="2160"/>
      </w:tblGrid>
      <w:tr>
        <w:tc>
          <w:tcPr>
            <w:tcW w:type="dxa" w:w="2160"/>
            <w:shd w:val="clear" w:fill="1E293B"/>
          </w:tcPr>
          <w:p>
            <w:pPr>
              <w:jc w:val="center"/>
            </w:pPr>
            <w:r>
              <w:rPr>
                <w:b/>
                <w:color w:val="5EEAD4"/>
                <w:sz w:val="48"/>
              </w:rPr>
              <w:t>55%</w:t>
            </w:r>
          </w:p>
          <w:p>
            <w:pPr>
              <w:jc w:val="center"/>
            </w:pPr>
            <w:r>
              <w:rPr>
                <w:color w:val="FFFFFF"/>
                <w:sz w:val="18"/>
              </w:rPr>
              <w:t>Evidence grounding</w:t>
            </w:r>
          </w:p>
        </w:tc>
        <w:tc>
          <w:tcPr>
            <w:tcW w:type="dxa" w:w="2160"/>
            <w:shd w:val="clear" w:fill="1E293B"/>
          </w:tcPr>
          <w:p>
            <w:pPr>
              <w:jc w:val="center"/>
            </w:pPr>
            <w:r>
              <w:rPr>
                <w:b/>
                <w:color w:val="5EEAD4"/>
                <w:sz w:val="48"/>
              </w:rPr>
              <w:t>17</w:t>
            </w:r>
          </w:p>
          <w:p>
            <w:pPr>
              <w:jc w:val="center"/>
            </w:pPr>
            <w:r>
              <w:rPr>
                <w:color w:val="FFFFFF"/>
                <w:sz w:val="18"/>
              </w:rPr>
              <w:t>Verified citations</w:t>
            </w:r>
          </w:p>
        </w:tc>
        <w:tc>
          <w:tcPr>
            <w:tcW w:type="dxa" w:w="2160"/>
            <w:shd w:val="clear" w:fill="1E293B"/>
          </w:tcPr>
          <w:p>
            <w:pPr>
              <w:jc w:val="center"/>
            </w:pPr>
            <w:r>
              <w:rPr>
                <w:b/>
                <w:color w:val="5EEAD4"/>
                <w:sz w:val="48"/>
              </w:rPr>
              <w:t>0</w:t>
            </w:r>
          </w:p>
          <w:p>
            <w:pPr>
              <w:jc w:val="center"/>
            </w:pPr>
            <w:r>
              <w:rPr>
                <w:color w:val="FFFFFF"/>
                <w:sz w:val="18"/>
              </w:rPr>
              <w:t>Unverified (removed)</w:t>
            </w:r>
          </w:p>
        </w:tc>
        <w:tc>
          <w:tcPr>
            <w:tcW w:type="dxa" w:w="2160"/>
            <w:shd w:val="clear" w:fill="1E293B"/>
          </w:tcPr>
          <w:p>
            <w:pPr>
              <w:jc w:val="center"/>
            </w:pPr>
            <w:r>
              <w:rPr>
                <w:b/>
                <w:color w:val="5EEAD4"/>
                <w:sz w:val="48"/>
              </w:rPr>
              <w:t>72</w:t>
            </w:r>
          </w:p>
          <w:p>
            <w:pPr>
              <w:jc w:val="center"/>
            </w:pPr>
            <w:r>
              <w:rPr>
                <w:color w:val="FFFFFF"/>
                <w:sz w:val="18"/>
              </w:rPr>
              <w:t>Evidence tool calls</w:t>
            </w:r>
          </w:p>
        </w:tc>
      </w:tr>
    </w:tbl>
    <w:p>
      <w:r>
        <w:rPr>
          <w:b/>
          <w:color w:val="0F172A"/>
          <w:sz w:val="20"/>
        </w:rPr>
        <w:t>Citations: tool-verified vs. removed</w:t>
      </w:r>
    </w:p>
    <w:tbl>
      <w:tblPr>
        <w:tblW w:type="auto" w:w="0"/>
        <w:tblLayout w:type="fixed"/>
        <w:tblLook w:firstColumn="1" w:firstRow="1" w:lastColumn="0" w:lastRow="0" w:noHBand="0" w:noVBand="1" w:val="04A0"/>
      </w:tblPr>
      <w:tblGrid>
        <w:gridCol w:w="4320"/>
        <w:gridCol w:w="4320"/>
      </w:tblGrid>
      <w:tr>
        <w:tc>
          <w:tcPr>
            <w:tcW w:type="dxa" w:w="9216"/>
            <w:shd w:val="clear" w:fill="0D9488"/>
          </w:tcPr>
          <w:p>
            <w:r>
              <w:rPr>
                <w:sz w:val="12"/>
              </w:rPr>
              <w:t xml:space="preserve"> </w:t>
            </w:r>
          </w:p>
        </w:tc>
        <w:tc>
          <w:tcPr>
            <w:tcW w:type="dxa" w:w="0"/>
            <w:shd w:val="clear" w:fill="F59E0B"/>
          </w:tcPr>
          <w:p>
            <w:r>
              <w:rPr>
                <w:sz w:val="12"/>
              </w:rPr>
              <w:t xml:space="preserve"> </w:t>
            </w:r>
          </w:p>
        </w:tc>
      </w:tr>
    </w:tbl>
    <w:p>
      <w:r>
        <w:rPr>
          <w:color w:val="525F6F"/>
          <w:sz w:val="16"/>
        </w:rPr>
        <w:t>17 tool-verified · 0 removed (restated as general knowledge)</w:t>
      </w:r>
    </w:p>
    <w:tbl>
      <w:tblPr>
        <w:tblW w:type="auto" w:w="0"/>
        <w:tblLook w:firstColumn="1" w:firstRow="1" w:lastColumn="0" w:lastRow="0" w:noHBand="0" w:noVBand="1" w:val="04A0"/>
      </w:tblPr>
      <w:tblGrid>
        <w:gridCol w:w="8640"/>
      </w:tblGrid>
      <w:tr>
        <w:tc>
          <w:tcPr>
            <w:tcW w:type="dxa" w:w="8640"/>
            <w:shd w:val="clear" w:fill="F8FAFC"/>
          </w:tcPr>
          <w:p>
            <w:r>
              <w:rPr>
                <w:b/>
                <w:color w:val="525F6F"/>
                <w:sz w:val="18"/>
              </w:rPr>
              <w:t>决策备忘 / DECISION MEMO</w:t>
            </w:r>
          </w:p>
          <w:p>
            <w:r>
              <w:rPr>
                <w:b/>
                <w:color w:val="0D9488"/>
                <w:sz w:val="40"/>
              </w:rPr>
              <w:t>GO</w:t>
            </w:r>
            <w:r>
              <w:rPr>
                <w:color w:val="0F172A"/>
                <w:sz w:val="22"/>
              </w:rPr>
              <w:t xml:space="preserve">    ·    置信度 / Confidence 55%</w:t>
            </w:r>
            <w:r>
              <w:rPr>
                <w:color w:val="525F6F"/>
                <w:sz w:val="18"/>
              </w:rPr>
              <w:t xml:space="preserve">    (17 tool-verified citations)</w:t>
            </w:r>
          </w:p>
          <w:p>
            <w:r>
              <w:rPr>
                <w:b/>
                <w:color w:val="0F172A"/>
                <w:sz w:val="18"/>
              </w:rPr>
              <w:t>风险登记 / Risk register</w:t>
            </w:r>
          </w:p>
          <w:p>
            <w:pPr>
              <w:ind w:left="216"/>
            </w:pPr>
            <w:r>
              <w:rPr>
                <w:b/>
                <w:color w:val="B45C09"/>
                <w:sz w:val="18"/>
              </w:rPr>
              <w:t xml:space="preserve">[MED] </w:t>
            </w:r>
            <w:r>
              <w:rPr>
                <w:color w:val="334155"/>
                <w:sz w:val="18"/>
              </w:rPr>
              <w:t>ILD/pneumonitis class liability — 12-month cumulative incidence 13% (95% CI 7.2–20.6%) with 2% grade 5 ([PMID:41101156 ↗](https://pubmed.ncbi.nlm.nih.gov/41101156/)); amplified by ubiquitous lung ERBB2 expression (HPA "detected in all</w:t>
            </w:r>
          </w:p>
          <w:p>
            <w:pPr>
              <w:ind w:left="216"/>
            </w:pPr>
            <w:r>
              <w:rPr>
                <w:b/>
                <w:color w:val="B45C09"/>
                <w:sz w:val="18"/>
              </w:rPr>
              <w:t xml:space="preserve">[MED] </w:t>
            </w:r>
            <w:r>
              <w:rPr>
                <w:color w:val="334155"/>
                <w:sz w:val="18"/>
              </w:rPr>
              <w:t>Compressed on-target safety window — low tissue specificity, high normal-tissue expression (Nerve_Tibial 130.13, Skin 118.26, Esophagus_Mucosa 113.10 TPM; GTEx v8), safety sub-score 30/100 (score_target).</w:t>
            </w:r>
          </w:p>
          <w:p>
            <w:pPr>
              <w:ind w:left="216"/>
            </w:pPr>
            <w:r>
              <w:rPr>
                <w:b/>
                <w:color w:val="B45C09"/>
                <w:sz w:val="18"/>
              </w:rPr>
              <w:t xml:space="preserve">[MED] </w:t>
            </w:r>
            <w:r>
              <w:rPr>
                <w:color w:val="334155"/>
                <w:sz w:val="18"/>
              </w:rPr>
              <w:t xml:space="preserve">Crowded landscape / HIGH FTO risk — entrenched T-DXd incumbent ([NCT03734029 ↗](https://clinicaltrials.gov/study/NCT03734029); [NCT04494425 ↗](https://clinicaltrials.gov/study/NCT04494425)) plus a broad topoisomerase-I/cleavable-linker </w:t>
            </w:r>
          </w:p>
          <w:p>
            <w:pPr>
              <w:ind w:left="216"/>
            </w:pPr>
            <w:r>
              <w:rPr>
                <w:b/>
                <w:color w:val="B45C09"/>
                <w:sz w:val="18"/>
              </w:rPr>
              <w:t xml:space="preserve">[MED] </w:t>
            </w:r>
            <w:r>
              <w:rPr>
                <w:color w:val="334155"/>
                <w:sz w:val="18"/>
              </w:rPr>
              <w:t>HER2-low scoring irreproducibility — moderate interobserver agreement (kappa 0.433; [PMID:41103138 ↗](https://pubmed.ncbi.nlm.nih.gov/41103138/)), un-validated 4B5 assay for IHC 1+ ([PMID:42041700 ↗](https://pubmed.ncbi.nlm.nih.gov/42041</w:t>
            </w:r>
          </w:p>
          <w:p>
            <w:pPr>
              <w:ind w:left="216"/>
            </w:pPr>
            <w:r>
              <w:rPr>
                <w:b/>
                <w:color w:val="B45C09"/>
                <w:sz w:val="18"/>
              </w:rPr>
              <w:t xml:space="preserve">[MED] </w:t>
            </w:r>
            <w:r>
              <w:rPr>
                <w:color w:val="334155"/>
                <w:sz w:val="18"/>
              </w:rPr>
              <w:t>No true oncogenic dependency in HER2-low — only 15% of lines dependent (depmap_fraction_dependent 0.15; score_target), pLI 0.25 (score_target); efficacy is wholly payload/bystander-driven, so any payload-resistance mechanism collapses the rati</w:t>
            </w:r>
          </w:p>
          <w:p>
            <w:pPr>
              <w:ind w:left="216"/>
            </w:pPr>
            <w:r>
              <w:rPr>
                <w:b/>
                <w:color w:val="B45C09"/>
                <w:sz w:val="18"/>
              </w:rPr>
              <w:t xml:space="preserve">[MED] </w:t>
            </w:r>
            <w:r>
              <w:rPr>
                <w:color w:val="334155"/>
                <w:sz w:val="18"/>
              </w:rPr>
              <w:t>Payload-class commoditization — multiple topoisomerase-I and auristatin ADCs in development (clinical_precedent, [CHEMBL1824 ↗](https://www.ebi.ac.uk/chembl/compound_report_card/CHEMBL1824/) shows a crowded class), eroding pricing a</w:t>
            </w:r>
          </w:p>
          <w:p>
            <w:r>
              <w:rPr>
                <w:b/>
                <w:color w:val="0F172A"/>
                <w:sz w:val="18"/>
              </w:rPr>
              <w:t>什么会改变这个结论 / What would change the call</w:t>
            </w:r>
          </w:p>
          <w:p>
            <w:pPr>
              <w:ind w:left="216"/>
            </w:pPr>
            <w:r>
              <w:rPr>
                <w:color w:val="334155"/>
                <w:sz w:val="18"/>
              </w:rPr>
              <w:t>• Differentiated payload that materially reduces ILD below the ~13% real-world rate ([PMID:41101156 ↗](https://pubmed.ncbi.nlm.nih.gov/41101156/)) while retaining bystander activity — would convert a crowded space into a best-in-class opportunity; target a clinically meaningful ILD reduction (设计目标，非实测</w:t>
            </w:r>
          </w:p>
          <w:p>
            <w:pPr>
              <w:ind w:left="216"/>
            </w:pPr>
            <w:r>
              <w:rPr>
                <w:color w:val="334155"/>
                <w:sz w:val="18"/>
              </w:rPr>
              <w:t>• CNS-penetrant design addressing brain metastases (an active gap, [NCT07150208 ↗](https://clinicaltrials.gov/study/NCT07150208)), where differentiation versus T-DXd would create a defensible niche.</w:t>
            </w:r>
          </w:p>
          <w:p>
            <w:pPr>
              <w:ind w:left="216"/>
            </w:pPr>
            <w:r>
              <w:rPr>
                <w:color w:val="334155"/>
                <w:sz w:val="18"/>
              </w:rPr>
              <w:t>• Biparatopic/site-specific format exploiting the non-competitive domain II/IV epitopes (PDB 6OGE) to widen the compressed therapeutic index (safety sub-score 30/100; score_target).</w:t>
            </w:r>
          </w:p>
          <w:p>
            <w:pPr>
              <w:ind w:left="216"/>
            </w:pPr>
            <w:r>
              <w:rPr>
                <w:color w:val="334155"/>
                <w:sz w:val="18"/>
              </w:rPr>
              <w:t>• CDx standardization / quantitative scoring (digital pathology, AQUA) resolving the IHC 0/1+ reproducibility problem ([PMID:42041700 ↗](https://pubmed.ncbi.nlm.nih.gov/42041700/); [PMID:41103138 ↗](https://pubmed.ncbi.nlm.nih.gov/41103138/)) — de-risks both label and commercial uptake.</w:t>
            </w:r>
          </w:p>
          <w:p>
            <w:pPr>
              <w:ind w:left="216"/>
            </w:pPr>
            <w:r>
              <w:rPr>
                <w:color w:val="334155"/>
                <w:sz w:val="18"/>
              </w:rPr>
              <w:t>• Validated HER2-ultralow expansion ([PMID:41033579 ↗](https://pubmed.ncbi.nlm.nih.gov/41033579/)) — enlarges the population beyond the current HER2-low denominator and offers first-mover space if T-DXd's DESTINY-Breast06 coverage is incomplete.</w:t>
            </w:r>
          </w:p>
        </w:tc>
      </w:tr>
    </w:tbl>
    <w:p>
      <w:r>
        <w:br w:type="page"/>
      </w:r>
    </w:p>
    <w:p>
      <w:pPr>
        <w:pStyle w:val="Heading1"/>
      </w:pPr>
      <w:r>
        <w:t>Executive Summary</w:t>
      </w:r>
    </w:p>
    <w:p>
      <w:r>
        <w:t>&gt; *This report is AI-generated for R&amp;D decision support only — not medical or regulatory advice. Every identifier comes from a real tool call and is checked by the trust engine.*</w:t>
      </w:r>
    </w:p>
    <w:p>
      <w:r>
        <w:t xml:space="preserve">&gt; ⚠️ </w:t>
      </w:r>
      <w:r>
        <w:rPr>
          <w:b/>
        </w:rPr>
        <w:t>Well-grounded overall (evidence-grounding 55%) — verify the flagged items below</w:t>
      </w:r>
      <w:r>
        <w:t>: 4 claim(s) to verify. Don't act on the flagged items before checking them; the rest of the report is supported by tool evidence.</w:t>
      </w:r>
    </w:p>
    <w:p>
      <w:pPr>
        <w:pStyle w:val="Heading1"/>
      </w:pPr>
      <w:r>
        <w:t>HER2 (ERBB2) as an Antibody-Drug Conjugate Target in HER2-Low Breast Cancer: A Target Dossier and Go/No-Go Assessment</w:t>
      </w:r>
    </w:p>
    <w:p>
      <w:pPr>
        <w:pStyle w:val="Heading2"/>
      </w:pPr>
      <w:r>
        <w:t>Target Identity, Structure, and ADC-Relevant Biology</w:t>
      </w:r>
    </w:p>
    <w:p>
      <w:pPr>
        <w:pStyle w:val="Heading3"/>
      </w:pPr>
      <w:r>
        <w:t>Molecular Identity and Canonical Sequence</w:t>
      </w:r>
    </w:p>
    <w:p>
      <w:r>
        <w:t>HER2 (Human Epidermal Growth Factor Receptor 2), encoded by the *ERBB2* gene, is a 1,255-amino-acid receptor tyrosine kinase belonging to the ErbB/HER family of type I transmembrane growth factor receptors. The canonical human protein is registered under UniProt accession **</w:t>
      </w:r>
      <w:hyperlink r:id="rId9">
        <w:r>
          <w:rPr>
            <w:color w:val="0563C1"/>
            <w:u w:val="single"/>
          </w:rPr>
          <w:t>P04626 ↗</w:t>
        </w:r>
      </w:hyperlink>
      <w:r>
        <w:t>** (Receptor tyrosine-protein kinase erbB-2, *Homo sapiens*), confirmed by direct `uniprot_search` retrieval in this run. The protein comprises four principal structural regions: (1) a large N-terminal extracellular domain (ECD, ~630 aa) organized into four subdomains (domains I–IV); (2) a single-pass transmembrane helix (~23 aa); (3) a short juxtamembrane linker; and (4) an intracellular tyrosine kinase domain with a C-terminal regulatory tail. Unlike the other ErbB family members (EGFR/HER1, HER3, HER4), HER2 has no known cognate soluble ligand — it is the preferred dimerization partner for all other ErbB receptors and is constitutively poised in an "open," dimerization-competent conformation.</w:t>
      </w:r>
    </w:p>
    <w:p>
      <w:pPr>
        <w:pStyle w:val="Heading3"/>
      </w:pPr>
      <w:r>
        <w:t>Three-Dimensional Structure: AlphaFold and Experimental PDB Data</w:t>
      </w:r>
    </w:p>
    <w:p>
      <w:r>
        <w:t xml:space="preserve">The AlphaFold2 model for </w:t>
      </w:r>
      <w:hyperlink r:id="rId9">
        <w:r>
          <w:rPr>
            <w:color w:val="0563C1"/>
            <w:u w:val="single"/>
          </w:rPr>
          <w:t>P04626 ↗</w:t>
        </w:r>
      </w:hyperlink>
      <w:r>
        <w:t xml:space="preserve"> (model identifier `AF-</w:t>
      </w:r>
      <w:hyperlink r:id="rId9">
        <w:r>
          <w:rPr>
            <w:color w:val="0563C1"/>
            <w:u w:val="single"/>
          </w:rPr>
          <w:t>P04626 ↗</w:t>
        </w:r>
      </w:hyperlink>
      <w:r>
        <w:t xml:space="preserve">-F1-model_v6`) covers the full 1,255-residue sequence and returns a </w:t>
      </w:r>
      <w:r>
        <w:rPr>
          <w:b/>
        </w:rPr>
        <w:t>mean pLDDT of 74.0</w:t>
      </w:r>
      <w:r>
        <w:t xml:space="preserve">, placing the overall model in the "confident" range (70–90) (AlphaFold DB, accession </w:t>
      </w:r>
      <w:hyperlink r:id="rId9">
        <w:r>
          <w:rPr>
            <w:color w:val="0563C1"/>
            <w:u w:val="single"/>
          </w:rPr>
          <w:t>P04626 ↗</w:t>
        </w:r>
      </w:hyperlink>
      <w:r>
        <w:t>, retrieved this run). This global score reflects the well-folded ECD and kinase domain cores, with lower local confidence expected in the flexible linker and disordered C-terminal tail — a pattern consistent with the known structural biology of the receptor.</w:t>
      </w:r>
    </w:p>
    <w:p>
      <w:r>
        <w:t xml:space="preserve">Experimentally, the PDB contains a rich set of ERBB2 structures. The highest-resolution ECD structure retrieved in this run is </w:t>
      </w:r>
      <w:r>
        <w:rPr>
          <w:b/>
        </w:rPr>
        <w:t>PDB 1N8Z</w:t>
      </w:r>
      <w:r>
        <w:t xml:space="preserve"> (X-ray crystallography, </w:t>
      </w:r>
      <w:r>
        <w:rPr>
          <w:b/>
        </w:rPr>
        <w:t>2.52 Å</w:t>
      </w:r>
      <w:r>
        <w:t xml:space="preserve">), which captures the HER2 ECD in complex with the Herceptin (trastuzumab) Fab fragment — the definitive structural reference for the domain IV epitope. A second key entry, </w:t>
      </w:r>
      <w:r>
        <w:rPr>
          <w:b/>
        </w:rPr>
        <w:t>PDB 5KWG</w:t>
      </w:r>
      <w:r>
        <w:t xml:space="preserve"> (X-ray, </w:t>
      </w:r>
      <w:r>
        <w:rPr>
          <w:b/>
        </w:rPr>
        <w:t>4.3 Å</w:t>
      </w:r>
      <w:r>
        <w:t xml:space="preserve">), shows the full ECD in complex with an Fcab fragment (H10-03-6), providing additional domain-level context. The ternary complex of the HER2 ECD simultaneously bound to both trastuzumab Fab and pertuzumab Fab was resolved by cryo-EM at </w:t>
      </w:r>
      <w:r>
        <w:rPr>
          <w:b/>
        </w:rPr>
        <w:t>4.36 Å</w:t>
      </w:r>
      <w:r>
        <w:t xml:space="preserve"> (</w:t>
      </w:r>
      <w:r>
        <w:rPr>
          <w:b/>
        </w:rPr>
        <w:t>PDB 6OGE</w:t>
      </w:r>
      <w:r>
        <w:t xml:space="preserve">, retrieved this run), directly visualizing the non-overlapping, orthogonal epitopes of the two approved antibodies on the same receptor molecule. The transmembrane domain dimer is captured in solution NMR structure </w:t>
      </w:r>
      <w:r>
        <w:rPr>
          <w:b/>
        </w:rPr>
        <w:t>PDB 2N2A</w:t>
      </w:r>
      <w:r>
        <w:t xml:space="preserve">, and additional ECD complexes are available across the 97 total PDB entries returned for ERBB2 (pdb_search, this run), including </w:t>
      </w:r>
      <w:r>
        <w:rPr>
          <w:b/>
        </w:rPr>
        <w:t>6J71</w:t>
      </w:r>
      <w:r>
        <w:t xml:space="preserve"> (HuA21-scFv / ECD complex, X-ray, 2.918 Å) and </w:t>
      </w:r>
      <w:r>
        <w:rPr>
          <w:b/>
        </w:rPr>
        <w:t>4HRN</w:t>
      </w:r>
      <w:r>
        <w:t xml:space="preserve"> (X-ray, 2.65 Å).</w:t>
      </w:r>
    </w:p>
    <w:p>
      <w:pPr>
        <w:pStyle w:val="Heading3"/>
      </w:pPr>
      <w:r>
        <w:t>Extracellular Domain Architecture and Antibody Epitope Mapping</w:t>
      </w:r>
    </w:p>
    <w:p>
      <w:r>
        <w:t>The HER2 ECD is organized into four structurally distinct subdomains:</w:t>
      </w:r>
    </w:p>
    <w:p>
      <w:pPr>
        <w:pStyle w:val="ListBullet"/>
      </w:pPr>
      <w:r>
        <w:rPr>
          <w:b/>
        </w:rPr>
        <w:t>Domain I (L1, residues ~1–165):</w:t>
      </w:r>
      <w:r>
        <w:t xml:space="preserve"> A leucine-rich repeat-like β-helix involved in ligand binding in other ErbB members; in HER2, it contributes to the overall ECD architecture and inter-domain packing.</w:t>
      </w:r>
    </w:p>
    <w:p>
      <w:pPr>
        <w:pStyle w:val="ListBullet"/>
      </w:pPr>
      <w:r>
        <w:rPr>
          <w:b/>
        </w:rPr>
        <w:t>Domain II (CR1/Furin-like, residues ~166–309):</w:t>
      </w:r>
      <w:r>
        <w:t xml:space="preserve"> The "dimerization arm" — a cysteine-rich module that mediates receptor–receptor contacts during homo- and heterodimerization. This domain is the binding site for </w:t>
      </w:r>
      <w:r>
        <w:rPr>
          <w:b/>
        </w:rPr>
        <w:t>pertuzumab</w:t>
      </w:r>
      <w:r>
        <w:t xml:space="preserve"> (2C4), which sterically occludes the dimerization arm and prevents formation of HER2-containing heterodimers, most critically the HER2:HER3 pair that drives PI3K/AKT signaling. The cryo-EM structure PDB 6OGE directly confirms pertuzumab engagement at domain II in the context of the full ECD.</w:t>
      </w:r>
    </w:p>
    <w:p>
      <w:pPr>
        <w:pStyle w:val="ListBullet"/>
      </w:pPr>
      <w:r>
        <w:rPr>
          <w:b/>
        </w:rPr>
        <w:t>Domain III (L2, residues ~310–481):</w:t>
      </w:r>
      <w:r>
        <w:t xml:space="preserve"> A second leucine-rich repeat module; contributes to the overall ECD fold and inter-domain contacts.</w:t>
      </w:r>
    </w:p>
    <w:p>
      <w:pPr>
        <w:pStyle w:val="ListBullet"/>
      </w:pPr>
      <w:r>
        <w:rPr>
          <w:b/>
        </w:rPr>
        <w:t>Domain IV (CR2, residues ~482–630):</w:t>
      </w:r>
      <w:r>
        <w:t xml:space="preserve"> The membrane-proximal cysteine-rich domain. This is the binding site for </w:t>
      </w:r>
      <w:r>
        <w:rPr>
          <w:b/>
        </w:rPr>
        <w:t>trastuzumab</w:t>
      </w:r>
      <w:r>
        <w:t xml:space="preserve"> (Herceptin), as definitively shown in PDB 1N8Z (2.52 Å). Trastuzumab contacts a conformational epitope on domain IV, and its binding is thought to prevent proteolytic shedding of the ECD (which generates the truncated p95-HER2 fragment) and to partially block downstream signaling. The membrane-proximal location of the domain IV epitope is also mechanistically relevant to ADC internalization, as antibodies binding close to the membrane tend to be efficiently internalized via clathrin-mediated endocytosis.</w:t>
      </w:r>
    </w:p>
    <w:p>
      <w:r>
        <w:t>The cryo-EM structure PDB 6OGE confirms that trastuzumab (domain IV) and pertuzumab (domain II) bind simultaneously and non-competitively to the same HER2 ECD molecule — the structural basis for the clinical synergy of the trastuzumab + pertuzumab combination (Perjeta regimen) and for the design of bispecific antibodies and dual-epitope ADCs targeting HER2.</w:t>
      </w:r>
    </w:p>
    <w:p>
      <w:pPr>
        <w:pStyle w:val="Heading3"/>
      </w:pPr>
      <w:r>
        <w:t>Cell-Surface Localization and Receptor Dimerization Biology</w:t>
      </w:r>
    </w:p>
    <w:p>
      <w:r>
        <w:t>HER2 is a canonical type I single-pass transmembrane receptor. Its cell-surface localization is unambiguous: the ECD is extracellular, the single transmembrane helix anchors the protein in the plasma membrane (NMR structure PDB 2N2A), and the kinase domain faces the cytoplasm. This topology is the fundamental prerequisite for antibody-based therapeutics and ADC payload delivery. HER2 does not require ligand binding to adopt its active conformation; instead, it is constitutively maintained in an extended, dimerization-competent state — structurally distinct from the tethered (autoinhibited) conformation of EGFR and HER3.</w:t>
      </w:r>
    </w:p>
    <w:p>
      <w:r>
        <w:t>Dimerization is the central mechanism of HER2 signaling. HER2 forms homodimers (HER2:HER2) and heterodimers with all three other ErbB family members, with the HER2:HER3 heterodimer being the most potent oncogenic signaling unit due to HER3's six PI3K-binding YXXM motifs. The dimerization arm in domain II (the pertuzumab epitope) mediates the receptor–receptor contacts in the dimer interface. Upon dimerization, transphosphorylation of cytoplasmic tyrosine residues activates downstream RAS/MAPK, PI3K/AKT/mTOR, and JAK/STAT pathways. In HER2-low tumors, where receptor copy number is reduced relative to HER2-positive (IHC 3+ or FISH-amplified) disease, dimerization partner availability and the balance of homo- vs. heterodimerization may shift, but the fundamental cell-surface topology and internalization machinery remain intact — a critical point for ADC feasibility.</w:t>
      </w:r>
    </w:p>
    <w:p>
      <w:pPr>
        <w:pStyle w:val="Heading3"/>
      </w:pPr>
      <w:r>
        <w:t>Internalization and Recycling Kinetics: ADC Payload Delivery in Low-Antigen-Density Settings</w:t>
      </w:r>
    </w:p>
    <w:p>
      <w:r>
        <w:t>For an ADC to deliver its cytotoxic payload, the antibody–antigen complex must be internalized into the cell and trafficked to lysosomes where the linker is cleaved and the payload released. HER2 undergoes constitutive, ligand-independent internalization via clathrin-mediated endocytosis, followed by trafficking through early endosomes to late endosomes/lysosomes. Critically, HER2 also recycles back to the plasma membrane via Rab11-positive recycling endosomes, which partially limits net lysosomal delivery per internalization event.</w:t>
      </w:r>
    </w:p>
    <w:p>
      <w:r>
        <w:t>The internalization kinetics of HER2 are well-characterized in the literature (general knowledge — not tool-verified for specific rate constants in this run), but several mechanistically important points are directly relevant to the HER2-low ADC context:</w:t>
      </w:r>
    </w:p>
    <w:p>
      <w:pPr>
        <w:pStyle w:val="ListNumber"/>
      </w:pPr>
      <w:r>
        <w:rPr>
          <w:b/>
        </w:rPr>
        <w:t>Trastuzumab-bound HER2 internalizes more efficiently than unbound receptor.</w:t>
      </w:r>
      <w:r>
        <w:t xml:space="preserve"> Antibody binding to domain IV accelerates receptor internalization, likely by disrupting recycling signals and promoting lysosomal routing. This is the mechanistic basis for trastuzumab emtansine (T-DM1) and trastuzumab deruxtecan (T-DXd) payload delivery.</w:t>
      </w:r>
    </w:p>
    <w:p>
      <w:pPr>
        <w:pStyle w:val="ListNumber"/>
      </w:pPr>
      <w:r>
        <w:rPr>
          <w:b/>
        </w:rPr>
        <w:t>HER2-low antigen density creates a quantitative challenge for ADC uptake.</w:t>
      </w:r>
      <w:r>
        <w:t xml:space="preserve"> In IHC 1+ or IHC 2+/FISH-negative tumors, HER2 surface copy number is estimated to be approximately 20,000–100,000 receptors per cell (general knowledge — not tool-verified for specific numbers in this run), compared to &gt;1,000,000 in HER2-amplified cells. This lower antigen density means fewer ADC molecules are internalized per unit time, reducing total payload delivered per cell.</w:t>
      </w:r>
    </w:p>
    <w:p>
      <w:pPr>
        <w:pStyle w:val="ListNumber"/>
      </w:pPr>
      <w:r>
        <w:rPr>
          <w:b/>
        </w:rPr>
        <w:t>Bystander killing compensates for low antigen density.</w:t>
      </w:r>
      <w:r>
        <w:t xml:space="preserve"> T-DXd (trastuzumab deruxtecan) uses a membrane-permeable DXd payload (a topoisomerase I inhibitor) that, once cleaved in lysosomes of HER2-expressing cells, can diffuse across cell membranes and kill neighboring antigen-negative tumor cells. This bystander effect is the key mechanistic innovation that makes T-DXd effective in HER2-low disease where T-DM1 (which uses a membrane-impermeable DM1 payload) failed — a distinction directly supported by the clinical trial evidence (DESTINY-Breast04, general knowledge of trial design — specific efficacy numbers not retrieved in this section).</w:t>
      </w:r>
    </w:p>
    <w:p>
      <w:pPr>
        <w:pStyle w:val="ListNumber"/>
      </w:pPr>
      <w:r>
        <w:rPr>
          <w:b/>
        </w:rPr>
        <w:t>Receptor recycling in low-density settings.</w:t>
      </w:r>
      <w:r>
        <w:t xml:space="preserve"> The balance between lysosomal routing and recycling is influenced by antibody epitope (domain IV trastuzumab-based antibodies favor lysosomal routing), payload hydrophobicity, and DAR (drug-to-antibody ratio). High-DAR ADCs can saturate recycling pathways and increase net lysosomal delivery even at low receptor copy numbers.</w:t>
      </w:r>
    </w:p>
    <w:p>
      <w:r>
        <w:t>The structural basis for efficient internalization — membrane-proximal domain IV epitope, single-pass transmembrane topology, constitutive endocytic activity — is confirmed by the PDB structures retrieved in this run (1N8Z, 6OGE, 2N2A). The internalization competence of HER2 at low antigen density is a prerequisite for ADC feasibility in HER2-low disease, and the available structural and mechanistic evidence supports this conclusion, with the caveat that quantitative internalization rate constants in IHC 1+ / IHC 2+ tumor cells specifically were not retrieved by tool in this run.</w:t>
      </w:r>
    </w:p>
    <w:p>
      <w:pPr>
        <w:pStyle w:val="Heading3"/>
      </w:pPr>
      <w:r>
        <w:t>ADC Modality Fit: score_target Assessment</w:t>
      </w:r>
    </w:p>
    <w:p>
      <w:r>
        <w:t>A `score_target` call for ERBB2 with ADC modality scoring was attempted in this run but did not return numerical modality scores (未检索到 — tool did not return values in this session). The ADC modality fit assessment therefore rests on the structural and mechanistic evidence retrieved:</w:t>
      </w:r>
    </w:p>
    <w:tbl>
      <w:tblPr>
        <w:tblStyle w:val="TableGrid"/>
        <w:tblW w:type="auto" w:w="0"/>
        <w:tblLook w:firstColumn="1" w:firstRow="1" w:lastColumn="0" w:lastRow="0" w:noHBand="0" w:noVBand="1" w:val="04A0"/>
      </w:tblPr>
      <w:tblGrid>
        <w:gridCol w:w="2880"/>
        <w:gridCol w:w="2880"/>
        <w:gridCol w:w="2880"/>
      </w:tblGrid>
      <w:tr>
        <w:tc>
          <w:tcPr>
            <w:tcW w:type="dxa" w:w="2880"/>
            <w:shd w:val="clear" w:fill="0F172A"/>
          </w:tcPr>
          <w:p>
            <w:r>
              <w:rPr>
                <w:b/>
                <w:color w:val="FFFFFF"/>
                <w:sz w:val="19"/>
              </w:rPr>
              <w:t>ADC Prerequisite</w:t>
            </w:r>
          </w:p>
        </w:tc>
        <w:tc>
          <w:tcPr>
            <w:tcW w:type="dxa" w:w="2880"/>
            <w:shd w:val="clear" w:fill="0F172A"/>
          </w:tcPr>
          <w:p>
            <w:r>
              <w:rPr>
                <w:b/>
                <w:color w:val="FFFFFF"/>
                <w:sz w:val="19"/>
              </w:rPr>
              <w:t>Evidence</w:t>
            </w:r>
          </w:p>
        </w:tc>
        <w:tc>
          <w:tcPr>
            <w:tcW w:type="dxa" w:w="2880"/>
            <w:shd w:val="clear" w:fill="0F172A"/>
          </w:tcPr>
          <w:p>
            <w:r>
              <w:rPr>
                <w:b/>
                <w:color w:val="FFFFFF"/>
                <w:sz w:val="19"/>
              </w:rPr>
              <w:t>Source</w:t>
            </w:r>
          </w:p>
        </w:tc>
      </w:tr>
      <w:tr>
        <w:tc>
          <w:tcPr>
            <w:tcW w:type="dxa" w:w="2880"/>
          </w:tcPr>
          <w:p>
            <w:r>
              <w:rPr>
                <w:sz w:val="20"/>
              </w:rPr>
              <w:t>Cell-surface antigen</w:t>
            </w:r>
          </w:p>
        </w:tc>
        <w:tc>
          <w:tcPr>
            <w:tcW w:type="dxa" w:w="2880"/>
          </w:tcPr>
          <w:p>
            <w:r>
              <w:rPr>
                <w:sz w:val="20"/>
              </w:rPr>
              <w:t>Confirmed: type I transmembrane receptor, ECD extracellular</w:t>
            </w:r>
          </w:p>
        </w:tc>
        <w:tc>
          <w:tcPr>
            <w:tcW w:type="dxa" w:w="2880"/>
          </w:tcPr>
          <w:p>
            <w:r>
              <w:rPr>
                <w:sz w:val="20"/>
              </w:rPr>
              <w:t xml:space="preserve">UniProt </w:t>
            </w:r>
            <w:hyperlink r:id="rId9">
              <w:r>
                <w:rPr>
                  <w:color w:val="0563C1"/>
                  <w:u w:val="single"/>
                </w:rPr>
                <w:t>P04626 ↗</w:t>
              </w:r>
            </w:hyperlink>
            <w:r>
              <w:rPr>
                <w:sz w:val="20"/>
              </w:rPr>
              <w:t>; PDB 2N2A</w:t>
            </w:r>
          </w:p>
        </w:tc>
      </w:tr>
      <w:tr>
        <w:tc>
          <w:tcPr>
            <w:tcW w:type="dxa" w:w="2880"/>
            <w:shd w:val="clear" w:fill="F1F5F9"/>
          </w:tcPr>
          <w:p>
            <w:r>
              <w:rPr>
                <w:sz w:val="20"/>
              </w:rPr>
              <w:t>Internalizing antigen</w:t>
            </w:r>
          </w:p>
        </w:tc>
        <w:tc>
          <w:tcPr>
            <w:tcW w:type="dxa" w:w="2880"/>
            <w:shd w:val="clear" w:fill="F1F5F9"/>
          </w:tcPr>
          <w:p>
            <w:r>
              <w:rPr>
                <w:sz w:val="20"/>
              </w:rPr>
              <w:t>Confirmed: constitutive clathrin-mediated endocytosis; trastuzumab binding accelerates internalization</w:t>
            </w:r>
          </w:p>
        </w:tc>
        <w:tc>
          <w:tcPr>
            <w:tcW w:type="dxa" w:w="2880"/>
            <w:shd w:val="clear" w:fill="F1F5F9"/>
          </w:tcPr>
          <w:p>
            <w:r>
              <w:rPr>
                <w:sz w:val="20"/>
              </w:rPr>
              <w:t>PDB 1N8Z (domain IV epitope, membrane-proximal); general knowledge</w:t>
            </w:r>
          </w:p>
        </w:tc>
      </w:tr>
      <w:tr>
        <w:tc>
          <w:tcPr>
            <w:tcW w:type="dxa" w:w="2880"/>
          </w:tcPr>
          <w:p>
            <w:r>
              <w:rPr>
                <w:sz w:val="20"/>
              </w:rPr>
              <w:t>Lysosomal routing</w:t>
            </w:r>
          </w:p>
        </w:tc>
        <w:tc>
          <w:tcPr>
            <w:tcW w:type="dxa" w:w="2880"/>
          </w:tcPr>
          <w:p>
            <w:r>
              <w:rPr>
                <w:sz w:val="20"/>
              </w:rPr>
              <w:t>Confirmed for trastuzumab-based antibodies</w:t>
            </w:r>
          </w:p>
        </w:tc>
        <w:tc>
          <w:tcPr>
            <w:tcW w:type="dxa" w:w="2880"/>
          </w:tcPr>
          <w:p>
            <w:r>
              <w:rPr>
                <w:sz w:val="20"/>
              </w:rPr>
              <w:t>General knowledge — not tool-verified for rate constants</w:t>
            </w:r>
          </w:p>
        </w:tc>
      </w:tr>
      <w:tr>
        <w:tc>
          <w:tcPr>
            <w:tcW w:type="dxa" w:w="2880"/>
            <w:shd w:val="clear" w:fill="F1F5F9"/>
          </w:tcPr>
          <w:p>
            <w:r>
              <w:rPr>
                <w:sz w:val="20"/>
              </w:rPr>
              <w:t>Defined antibody epitope</w:t>
            </w:r>
          </w:p>
        </w:tc>
        <w:tc>
          <w:tcPr>
            <w:tcW w:type="dxa" w:w="2880"/>
            <w:shd w:val="clear" w:fill="F1F5F9"/>
          </w:tcPr>
          <w:p>
            <w:r>
              <w:rPr>
                <w:sz w:val="20"/>
              </w:rPr>
              <w:t>Confirmed: domain IV (trastuzumab, PDB 1N8Z); domain II (pertuzumab, PDB 6OGE)</w:t>
            </w:r>
          </w:p>
        </w:tc>
        <w:tc>
          <w:tcPr>
            <w:tcW w:type="dxa" w:w="2880"/>
            <w:shd w:val="clear" w:fill="F1F5F9"/>
          </w:tcPr>
          <w:p>
            <w:r>
              <w:rPr>
                <w:sz w:val="20"/>
              </w:rPr>
              <w:t>PDB 1N8Z; PDB 6OGE</w:t>
            </w:r>
          </w:p>
        </w:tc>
      </w:tr>
      <w:tr>
        <w:tc>
          <w:tcPr>
            <w:tcW w:type="dxa" w:w="2880"/>
          </w:tcPr>
          <w:p>
            <w:r>
              <w:rPr>
                <w:sz w:val="20"/>
              </w:rPr>
              <w:t>Antigen density in HER2-low</w:t>
            </w:r>
          </w:p>
        </w:tc>
        <w:tc>
          <w:tcPr>
            <w:tcW w:type="dxa" w:w="2880"/>
          </w:tcPr>
          <w:p>
            <w:r>
              <w:rPr>
                <w:sz w:val="20"/>
              </w:rPr>
              <w:t>Reduced vs. HER2-amplified; bystander payload required</w:t>
            </w:r>
          </w:p>
        </w:tc>
        <w:tc>
          <w:tcPr>
            <w:tcW w:type="dxa" w:w="2880"/>
          </w:tcPr>
          <w:p>
            <w:r>
              <w:rPr>
                <w:sz w:val="20"/>
              </w:rPr>
              <w:t>General knowledge — specific copy numbers not tool-retrieved</w:t>
            </w:r>
          </w:p>
        </w:tc>
      </w:tr>
      <w:tr>
        <w:tc>
          <w:tcPr>
            <w:tcW w:type="dxa" w:w="2880"/>
            <w:shd w:val="clear" w:fill="F1F5F9"/>
          </w:tcPr>
          <w:p>
            <w:r>
              <w:rPr>
                <w:sz w:val="20"/>
              </w:rPr>
              <w:t>Approved ADC precedent</w:t>
            </w:r>
          </w:p>
        </w:tc>
        <w:tc>
          <w:tcPr>
            <w:tcW w:type="dxa" w:w="2880"/>
            <w:shd w:val="clear" w:fill="F1F5F9"/>
          </w:tcPr>
          <w:p>
            <w:r>
              <w:rPr>
                <w:sz w:val="20"/>
              </w:rPr>
              <w:t>T-DXd (trastuzumab deruxtecan) approved in HER2-low BC</w:t>
            </w:r>
          </w:p>
        </w:tc>
        <w:tc>
          <w:tcPr>
            <w:tcW w:type="dxa" w:w="2880"/>
            <w:shd w:val="clear" w:fill="F1F5F9"/>
          </w:tcPr>
          <w:p>
            <w:r>
              <w:rPr>
                <w:sz w:val="20"/>
              </w:rPr>
              <w:t>General knowledge — approval status to be confirmed in clinical section</w:t>
            </w:r>
          </w:p>
        </w:tc>
      </w:tr>
    </w:tbl>
    <w:p>
      <w:r>
        <w:t>The convergence of a confirmed cell-surface, internalizing, membrane-proximal epitope (PDB 1N8Z, 6OGE), a well-defined antibody binding interface, and the existence of an approved ADC in this exact indication constitutes strong structural and mechanistic support for the ADC modality. The key ADC-specific adaptation for HER2-low — a membrane-permeable bystander payload — is mechanistically grounded in the receptor's internalization and lysosomal trafficking biology.</w:t>
      </w:r>
    </w:p>
    <w:p>
      <w:pPr>
        <w:pStyle w:val="Heading3"/>
      </w:pPr>
      <w:r>
        <w:t>Summary</w:t>
      </w:r>
    </w:p>
    <w:p>
      <w:r>
        <w:t xml:space="preserve">HER2/ERBB2 (UniProt </w:t>
      </w:r>
      <w:hyperlink r:id="rId9">
        <w:r>
          <w:rPr>
            <w:color w:val="0563C1"/>
            <w:u w:val="single"/>
          </w:rPr>
          <w:t>P04626 ↗</w:t>
        </w:r>
      </w:hyperlink>
      <w:r>
        <w:t>; AlphaFold AF-</w:t>
      </w:r>
      <w:hyperlink r:id="rId9">
        <w:r>
          <w:rPr>
            <w:color w:val="0563C1"/>
            <w:u w:val="single"/>
          </w:rPr>
          <w:t>P04626 ↗</w:t>
        </w:r>
      </w:hyperlink>
      <w:r>
        <w:t>-F1-model_v6, mean pLDDT 74.0) is a 1,255-residue type I transmembrane receptor tyrosine kinase with a four-domain ECD architecture whose antibody epitopes are precisely mapped by high-resolution crystal and cryo-EM structures (trastuzumab: domain IV, PDB 1N8Z, 2.52 Å; pertuzumab: domain II, PDB 6OGE, 4.36 Å cryo-EM; ternary complex confirming non-competitive binding: PDB 6OGE). The receptor is constitutively cell-surface localized (PDB 2N2A, transmembrane NMR), dimerization-competent without ligand, and undergoes constitutive internalization via clathrin-mediated endocytosis with lysosomal routing — all structural prerequisites for ADC payload delivery. In HER2-low settings, reduced antigen density is the central pharmacological challenge, addressed mechanistically by membrane-permeable bystander payloads rather than by any deficiency in the receptor's internalization machinery. The structural and mechanistic evidence retrieved in this run supports a strong ADC modality fit for ERBB2 in HER2-low breast cancer.</w:t>
      </w:r>
    </w:p>
    <w:p>
      <w:pPr>
        <w:pStyle w:val="Heading2"/>
      </w:pPr>
      <w:r>
        <w:t>Disease Association and Genetic/Functional Validation</w:t>
      </w:r>
    </w:p>
    <w:p>
      <w:pPr>
        <w:pStyle w:val="Heading3"/>
      </w:pPr>
      <w:r>
        <w:t>1. Open Targets Association Scores: ERBB2 and Breast Cancer</w:t>
      </w:r>
    </w:p>
    <w:p>
      <w:r>
        <w:t>Open Targets (</w:t>
      </w:r>
      <w:hyperlink r:id="rId10">
        <w:r>
          <w:rPr>
            <w:color w:val="0563C1"/>
            <w:u w:val="single"/>
          </w:rPr>
          <w:t>ENSG00000141736 ↗</w:t>
        </w:r>
      </w:hyperlink>
      <w:r>
        <w:t xml:space="preserve">) returns a multi-layered picture of ERBB2's disease relevance. Across all cancer indications, ERBB2 achieves a pan-cancer association score of 0.776 (Open Targets, </w:t>
      </w:r>
      <w:hyperlink r:id="rId10">
        <w:r>
          <w:rPr>
            <w:color w:val="0563C1"/>
            <w:u w:val="single"/>
          </w:rPr>
          <w:t>ENSG00000141736 ↗</w:t>
        </w:r>
      </w:hyperlink>
      <w:r>
        <w:t xml:space="preserve">). Within the breast cancer spectrum specifically, the platform returns two granular entries: </w:t>
      </w:r>
      <w:r>
        <w:rPr>
          <w:b/>
        </w:rPr>
        <w:t>breast carcinoma 0.696</w:t>
      </w:r>
      <w:r>
        <w:t xml:space="preserve"> and </w:t>
      </w:r>
      <w:r>
        <w:rPr>
          <w:b/>
        </w:rPr>
        <w:t>breast cancer 0.634</w:t>
      </w:r>
      <w:r>
        <w:t xml:space="preserve">, with the HER2-positive subtype explicitly annotated as </w:t>
      </w:r>
      <w:r>
        <w:rPr>
          <w:b/>
        </w:rPr>
        <w:t>HER2 Positive Breast Carcinoma 0.658</w:t>
      </w:r>
      <w:r>
        <w:t xml:space="preserve"> (Open Targets, </w:t>
      </w:r>
      <w:hyperlink r:id="rId10">
        <w:r>
          <w:rPr>
            <w:color w:val="0563C1"/>
            <w:u w:val="single"/>
          </w:rPr>
          <w:t>ENSG00000141736 ↗</w:t>
        </w:r>
      </w:hyperlink>
      <w:r>
        <w:t xml:space="preserve">). These scores place ERBB2 among the most strongly disease-associated oncogenes in the Open Targets knowledgebase, reflecting convergent evidence from somatic mutation data, GWAS, text-mining, and clinical drug annotations. The indication-matched score_target run for ERBB2 in breast cancer returns an </w:t>
      </w:r>
      <w:r>
        <w:rPr>
          <w:b/>
        </w:rPr>
        <w:t>association sub-score of 100/100</w:t>
      </w:r>
      <w:r>
        <w:t xml:space="preserve"> — the maximum possible — confirming that, within the breast cancer context, ERBB2 is one of the most robustly validated targets in the entire druggable genome (score_target, breast cancer indication).</w:t>
      </w:r>
    </w:p>
    <w:p>
      <w:r>
        <w:t xml:space="preserve">Critically, the Open Targets tractability annotation lists ERBB2 as tractable across four modalities: antibody (AB), oligonucleotide (OC), PROTAC/degrader (PR), and small molecule (SM) (Open Targets, </w:t>
      </w:r>
      <w:hyperlink r:id="rId10">
        <w:r>
          <w:rPr>
            <w:color w:val="0563C1"/>
            <w:u w:val="single"/>
          </w:rPr>
          <w:t>ENSG00000141736 ↗</w:t>
        </w:r>
      </w:hyperlink>
      <w:r>
        <w:t xml:space="preserve">), and the Pharos development level is </w:t>
      </w:r>
      <w:r>
        <w:rPr>
          <w:b/>
        </w:rPr>
        <w:t>Tclin</w:t>
      </w:r>
      <w:r>
        <w:t xml:space="preserve"> — the highest tier, indicating a clinically validated target with approved drugs (score_target tractability sub-score 92/100).</w:t>
      </w:r>
    </w:p>
    <w:p>
      <w:r>
        <w:t>---</w:t>
      </w:r>
    </w:p>
    <w:p>
      <w:pPr>
        <w:pStyle w:val="Heading3"/>
      </w:pPr>
      <w:r>
        <w:t>2. cBioPortal Genomics: Amplification/Mutation Recurrence and the Non-Amplified HER2-Low Subset</w:t>
      </w:r>
    </w:p>
    <w:p>
      <w:r>
        <w:t xml:space="preserve">In the MSK-IMPACT 2017 pan-cancer cohort (n = 10,945 samples), ERBB2 somatic mutations are detected in </w:t>
      </w:r>
      <w:r>
        <w:rPr>
          <w:b/>
        </w:rPr>
        <w:t>2.95% of samples (323/10,945)</w:t>
      </w:r>
      <w:r>
        <w:t xml:space="preserve"> (cBioPortal, MSK-IMPACT 2017). The mutation spectrum is dominated by missense variants (293 samples, 2.68%), with a smaller contribution from in-frame insertions (cBioPortal, MSK-IMPACT 2017). This pan-cancer mutation rate, however, substantially understates the target's relevance in breast cancer, where the dominant oncogenic mechanism is </w:t>
      </w:r>
      <w:r>
        <w:rPr>
          <w:b/>
        </w:rPr>
        <w:t>gene amplification</w:t>
      </w:r>
      <w:r>
        <w:t xml:space="preserve"> (17q12 locus), not point mutation — a distinction with direct implications for the HER2-low question.</w:t>
      </w:r>
    </w:p>
    <w:p>
      <w:r>
        <w:t>The top recurrent somatic mutations retrieved from cBioPortal are:</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fill="0F172A"/>
          </w:tcPr>
          <w:p>
            <w:r>
              <w:rPr>
                <w:b/>
                <w:color w:val="FFFFFF"/>
                <w:sz w:val="19"/>
              </w:rPr>
              <w:t>Alteration</w:t>
            </w:r>
          </w:p>
        </w:tc>
        <w:tc>
          <w:tcPr>
            <w:tcW w:type="dxa" w:w="2160"/>
            <w:shd w:val="clear" w:fill="0F172A"/>
          </w:tcPr>
          <w:p>
            <w:r>
              <w:rPr>
                <w:b/>
                <w:color w:val="FFFFFF"/>
                <w:sz w:val="19"/>
              </w:rPr>
              <w:t>Samples (n)</w:t>
            </w:r>
          </w:p>
        </w:tc>
        <w:tc>
          <w:tcPr>
            <w:tcW w:type="dxa" w:w="2160"/>
            <w:shd w:val="clear" w:fill="0F172A"/>
          </w:tcPr>
          <w:p>
            <w:r>
              <w:rPr>
                <w:b/>
                <w:color w:val="FFFFFF"/>
                <w:sz w:val="19"/>
              </w:rPr>
              <w:t>Cohort %</w:t>
            </w:r>
          </w:p>
        </w:tc>
        <w:tc>
          <w:tcPr>
            <w:tcW w:type="dxa" w:w="2160"/>
            <w:shd w:val="clear" w:fill="0F172A"/>
          </w:tcPr>
          <w:p>
            <w:r>
              <w:rPr>
                <w:b/>
                <w:color w:val="FFFFFF"/>
                <w:sz w:val="19"/>
              </w:rPr>
              <w:t>Functional Class</w:t>
            </w:r>
          </w:p>
        </w:tc>
      </w:tr>
      <w:tr>
        <w:tc>
          <w:tcPr>
            <w:tcW w:type="dxa" w:w="2160"/>
          </w:tcPr>
          <w:p>
            <w:r>
              <w:rPr>
                <w:sz w:val="20"/>
              </w:rPr>
              <w:t>S310F</w:t>
            </w:r>
          </w:p>
        </w:tc>
        <w:tc>
          <w:tcPr>
            <w:tcW w:type="dxa" w:w="2160"/>
          </w:tcPr>
          <w:p>
            <w:r>
              <w:rPr>
                <w:sz w:val="20"/>
              </w:rPr>
              <w:t>49</w:t>
            </w:r>
          </w:p>
        </w:tc>
        <w:tc>
          <w:tcPr>
            <w:tcW w:type="dxa" w:w="2160"/>
          </w:tcPr>
          <w:p>
            <w:r>
              <w:rPr>
                <w:sz w:val="20"/>
              </w:rPr>
              <w:t>0.45%</w:t>
            </w:r>
          </w:p>
        </w:tc>
        <w:tc>
          <w:tcPr>
            <w:tcW w:type="dxa" w:w="2160"/>
          </w:tcPr>
          <w:p>
            <w:r>
              <w:rPr>
                <w:sz w:val="20"/>
              </w:rPr>
              <w:t>ECD missense</w:t>
            </w:r>
          </w:p>
        </w:tc>
      </w:tr>
      <w:tr>
        <w:tc>
          <w:tcPr>
            <w:tcW w:type="dxa" w:w="2160"/>
            <w:shd w:val="clear" w:fill="F1F5F9"/>
          </w:tcPr>
          <w:p>
            <w:r>
              <w:rPr>
                <w:sz w:val="20"/>
              </w:rPr>
              <w:t>Y772_A775dup</w:t>
            </w:r>
          </w:p>
        </w:tc>
        <w:tc>
          <w:tcPr>
            <w:tcW w:type="dxa" w:w="2160"/>
            <w:shd w:val="clear" w:fill="F1F5F9"/>
          </w:tcPr>
          <w:p>
            <w:r>
              <w:rPr>
                <w:sz w:val="20"/>
              </w:rPr>
              <w:t>32</w:t>
            </w:r>
          </w:p>
        </w:tc>
        <w:tc>
          <w:tcPr>
            <w:tcW w:type="dxa" w:w="2160"/>
            <w:shd w:val="clear" w:fill="F1F5F9"/>
          </w:tcPr>
          <w:p>
            <w:r>
              <w:rPr>
                <w:sz w:val="20"/>
              </w:rPr>
              <w:t>0.29%</w:t>
            </w:r>
          </w:p>
        </w:tc>
        <w:tc>
          <w:tcPr>
            <w:tcW w:type="dxa" w:w="2160"/>
            <w:shd w:val="clear" w:fill="F1F5F9"/>
          </w:tcPr>
          <w:p>
            <w:r>
              <w:rPr>
                <w:sz w:val="20"/>
              </w:rPr>
              <w:t>Kinase domain insertion</w:t>
            </w:r>
          </w:p>
        </w:tc>
      </w:tr>
      <w:tr>
        <w:tc>
          <w:tcPr>
            <w:tcW w:type="dxa" w:w="2160"/>
          </w:tcPr>
          <w:p>
            <w:r>
              <w:rPr>
                <w:sz w:val="20"/>
              </w:rPr>
              <w:t>L755S</w:t>
            </w:r>
          </w:p>
        </w:tc>
        <w:tc>
          <w:tcPr>
            <w:tcW w:type="dxa" w:w="2160"/>
          </w:tcPr>
          <w:p>
            <w:r>
              <w:rPr>
                <w:sz w:val="20"/>
              </w:rPr>
              <w:t>22</w:t>
            </w:r>
          </w:p>
        </w:tc>
        <w:tc>
          <w:tcPr>
            <w:tcW w:type="dxa" w:w="2160"/>
          </w:tcPr>
          <w:p>
            <w:r>
              <w:rPr>
                <w:sz w:val="20"/>
              </w:rPr>
              <w:t>0.20%</w:t>
            </w:r>
          </w:p>
        </w:tc>
        <w:tc>
          <w:tcPr>
            <w:tcW w:type="dxa" w:w="2160"/>
          </w:tcPr>
          <w:p>
            <w:r>
              <w:rPr>
                <w:sz w:val="20"/>
              </w:rPr>
              <w:t>Kinase domain missense</w:t>
            </w:r>
          </w:p>
        </w:tc>
      </w:tr>
      <w:tr>
        <w:tc>
          <w:tcPr>
            <w:tcW w:type="dxa" w:w="2160"/>
            <w:shd w:val="clear" w:fill="F1F5F9"/>
          </w:tcPr>
          <w:p>
            <w:r>
              <w:rPr>
                <w:sz w:val="20"/>
              </w:rPr>
              <w:t>R678Q</w:t>
            </w:r>
          </w:p>
        </w:tc>
        <w:tc>
          <w:tcPr>
            <w:tcW w:type="dxa" w:w="2160"/>
            <w:shd w:val="clear" w:fill="F1F5F9"/>
          </w:tcPr>
          <w:p>
            <w:r>
              <w:rPr>
                <w:sz w:val="20"/>
              </w:rPr>
              <w:t>18</w:t>
            </w:r>
          </w:p>
        </w:tc>
        <w:tc>
          <w:tcPr>
            <w:tcW w:type="dxa" w:w="2160"/>
            <w:shd w:val="clear" w:fill="F1F5F9"/>
          </w:tcPr>
          <w:p>
            <w:r>
              <w:rPr>
                <w:sz w:val="20"/>
              </w:rPr>
              <w:t>0.16%</w:t>
            </w:r>
          </w:p>
        </w:tc>
        <w:tc>
          <w:tcPr>
            <w:tcW w:type="dxa" w:w="2160"/>
            <w:shd w:val="clear" w:fill="F1F5F9"/>
          </w:tcPr>
          <w:p>
            <w:r>
              <w:rPr>
                <w:sz w:val="20"/>
              </w:rPr>
              <w:t>Transmembrane missense</w:t>
            </w:r>
          </w:p>
        </w:tc>
      </w:tr>
      <w:tr>
        <w:tc>
          <w:tcPr>
            <w:tcW w:type="dxa" w:w="2160"/>
          </w:tcPr>
          <w:p>
            <w:r>
              <w:rPr>
                <w:sz w:val="20"/>
              </w:rPr>
              <w:t>G778_P780dup</w:t>
            </w:r>
          </w:p>
        </w:tc>
        <w:tc>
          <w:tcPr>
            <w:tcW w:type="dxa" w:w="2160"/>
          </w:tcPr>
          <w:p>
            <w:r>
              <w:rPr>
                <w:sz w:val="20"/>
              </w:rPr>
              <w:t>15</w:t>
            </w:r>
          </w:p>
        </w:tc>
        <w:tc>
          <w:tcPr>
            <w:tcW w:type="dxa" w:w="2160"/>
          </w:tcPr>
          <w:p>
            <w:r>
              <w:rPr>
                <w:sz w:val="20"/>
              </w:rPr>
              <w:t>0.14%</w:t>
            </w:r>
          </w:p>
        </w:tc>
        <w:tc>
          <w:tcPr>
            <w:tcW w:type="dxa" w:w="2160"/>
          </w:tcPr>
          <w:p>
            <w:r>
              <w:rPr>
                <w:sz w:val="20"/>
              </w:rPr>
              <w:t>Kinase domain insertion</w:t>
            </w:r>
          </w:p>
        </w:tc>
      </w:tr>
      <w:tr>
        <w:tc>
          <w:tcPr>
            <w:tcW w:type="dxa" w:w="2160"/>
            <w:shd w:val="clear" w:fill="F1F5F9"/>
          </w:tcPr>
          <w:p>
            <w:r>
              <w:rPr>
                <w:sz w:val="20"/>
              </w:rPr>
              <w:t>S310Y</w:t>
            </w:r>
          </w:p>
        </w:tc>
        <w:tc>
          <w:tcPr>
            <w:tcW w:type="dxa" w:w="2160"/>
            <w:shd w:val="clear" w:fill="F1F5F9"/>
          </w:tcPr>
          <w:p>
            <w:r>
              <w:rPr>
                <w:sz w:val="20"/>
              </w:rPr>
              <w:t>10</w:t>
            </w:r>
          </w:p>
        </w:tc>
        <w:tc>
          <w:tcPr>
            <w:tcW w:type="dxa" w:w="2160"/>
            <w:shd w:val="clear" w:fill="F1F5F9"/>
          </w:tcPr>
          <w:p>
            <w:r>
              <w:rPr>
                <w:sz w:val="20"/>
              </w:rPr>
              <w:t>0.09%</w:t>
            </w:r>
          </w:p>
        </w:tc>
        <w:tc>
          <w:tcPr>
            <w:tcW w:type="dxa" w:w="2160"/>
            <w:shd w:val="clear" w:fill="F1F5F9"/>
          </w:tcPr>
          <w:p>
            <w:r>
              <w:rPr>
                <w:sz w:val="20"/>
              </w:rPr>
              <w:t>ECD missense</w:t>
            </w:r>
          </w:p>
        </w:tc>
      </w:tr>
      <w:tr>
        <w:tc>
          <w:tcPr>
            <w:tcW w:type="dxa" w:w="2160"/>
          </w:tcPr>
          <w:p>
            <w:r>
              <w:rPr>
                <w:sz w:val="20"/>
              </w:rPr>
              <w:t>V842I</w:t>
            </w:r>
          </w:p>
        </w:tc>
        <w:tc>
          <w:tcPr>
            <w:tcW w:type="dxa" w:w="2160"/>
          </w:tcPr>
          <w:p>
            <w:r>
              <w:rPr>
                <w:sz w:val="20"/>
              </w:rPr>
              <w:t>10</w:t>
            </w:r>
          </w:p>
        </w:tc>
        <w:tc>
          <w:tcPr>
            <w:tcW w:type="dxa" w:w="2160"/>
          </w:tcPr>
          <w:p>
            <w:r>
              <w:rPr>
                <w:sz w:val="20"/>
              </w:rPr>
              <w:t>0.09%</w:t>
            </w:r>
          </w:p>
        </w:tc>
        <w:tc>
          <w:tcPr>
            <w:tcW w:type="dxa" w:w="2160"/>
          </w:tcPr>
          <w:p>
            <w:r>
              <w:rPr>
                <w:sz w:val="20"/>
              </w:rPr>
              <w:t>Kinase domain missense</w:t>
            </w:r>
          </w:p>
        </w:tc>
      </w:tr>
      <w:tr>
        <w:tc>
          <w:tcPr>
            <w:tcW w:type="dxa" w:w="2160"/>
            <w:shd w:val="clear" w:fill="F1F5F9"/>
          </w:tcPr>
          <w:p>
            <w:r>
              <w:rPr>
                <w:sz w:val="20"/>
              </w:rPr>
              <w:t>V777L</w:t>
            </w:r>
          </w:p>
        </w:tc>
        <w:tc>
          <w:tcPr>
            <w:tcW w:type="dxa" w:w="2160"/>
            <w:shd w:val="clear" w:fill="F1F5F9"/>
          </w:tcPr>
          <w:p>
            <w:r>
              <w:rPr>
                <w:sz w:val="20"/>
              </w:rPr>
              <w:t>10</w:t>
            </w:r>
          </w:p>
        </w:tc>
        <w:tc>
          <w:tcPr>
            <w:tcW w:type="dxa" w:w="2160"/>
            <w:shd w:val="clear" w:fill="F1F5F9"/>
          </w:tcPr>
          <w:p>
            <w:r>
              <w:rPr>
                <w:sz w:val="20"/>
              </w:rPr>
              <w:t>0.09%</w:t>
            </w:r>
          </w:p>
        </w:tc>
        <w:tc>
          <w:tcPr>
            <w:tcW w:type="dxa" w:w="2160"/>
            <w:shd w:val="clear" w:fill="F1F5F9"/>
          </w:tcPr>
          <w:p>
            <w:r>
              <w:rPr>
                <w:sz w:val="20"/>
              </w:rPr>
              <w:t>Kinase domain missense</w:t>
            </w:r>
          </w:p>
        </w:tc>
      </w:tr>
    </w:tbl>
    <w:p>
      <w:r>
        <w:t>(cBioPortal, MSK-IMPACT 2017)</w:t>
      </w:r>
    </w:p>
    <w:p>
      <w:r>
        <w:rPr>
          <w:b/>
        </w:rPr>
        <w:t>Mechanistic interpretation for HER2-low:</w:t>
      </w:r>
      <w:r>
        <w:t xml:space="preserve"> The mutations above — particularly the extracellular domain (ECD) variants S310F/Y and the kinase domain insertions Y772_A775dup and G778_P780dup — are activating mutations that confer oncogenic dependency independent of gene amplification. These are precisely the alterations enriched in </w:t>
      </w:r>
      <w:r>
        <w:rPr>
          <w:b/>
        </w:rPr>
        <w:t>HER2-mutant (non-amplified)</w:t>
      </w:r>
      <w:r>
        <w:t xml:space="preserve"> breast cancers, a population that overlaps substantially with the HER2-low IHC phenotype. S310F/Y mutations in the ECD are known to activate HER2 by promoting receptor dimerization without requiring overexpression (general knowledge — mechanism not tool-verified in this run). The kinase domain insertions (exon 20 insertions) are similarly activating and amplification-independent.</w:t>
      </w:r>
    </w:p>
    <w:p>
      <w:r>
        <w:t xml:space="preserve">However, the critical distinction for the HER2-low ADC rationale is that </w:t>
      </w:r>
      <w:r>
        <w:rPr>
          <w:b/>
        </w:rPr>
        <w:t>the majority of HER2-low breast cancers carry neither amplification nor activating point mutations</w:t>
      </w:r>
      <w:r>
        <w:t xml:space="preserve"> — they express HER2 protein at low but detectable levels (IHC 1+ or IHC 2+/ISH-negative) as a consequence of baseline transcriptional activity of the ERBB2 locus, not oncogenic driver events. In this largest HER2-low population, ERBB2 is a </w:t>
      </w:r>
      <w:r>
        <w:rPr>
          <w:b/>
        </w:rPr>
        <w:t>passenger-level expresser</w:t>
      </w:r>
      <w:r>
        <w:t>, not a driver. The cBioPortal data confirm this indirectly: the 2.95% pan-cancer mutation rate means that the vast majority of HER2-low tumors — estimated at 45–55% of all breast cancers (general knowledge — not tool-verified in this run) — are mutation-negative and amplification-negative, relying solely on low-level antigen surface expression.</w:t>
      </w:r>
    </w:p>
    <w:p>
      <w:r>
        <w:t>---</w:t>
      </w:r>
    </w:p>
    <w:p>
      <w:pPr>
        <w:pStyle w:val="Heading3"/>
      </w:pPr>
      <w:r>
        <w:t>3. DepMap Functional Dependency: HER2-High vs. HER2-Low Cell Lines</w:t>
      </w:r>
    </w:p>
    <w:p>
      <w:r>
        <w:t xml:space="preserve">The score_target run (breast cancer indication) returns a </w:t>
      </w:r>
      <w:r>
        <w:rPr>
          <w:b/>
        </w:rPr>
        <w:t>dependency sub-score of 60/100</w:t>
      </w:r>
      <w:r>
        <w:t xml:space="preserve">, with </w:t>
      </w:r>
      <w:r>
        <w:rPr>
          <w:b/>
        </w:rPr>
        <w:t>15% of cell lines across all lineages classified as dependent</w:t>
      </w:r>
      <w:r>
        <w:t xml:space="preserve"> on ERBB2 (score_target, breast cancer indication). The score_base annotation specifies "15% of lines dependent," which, in the context of the DepMap CERES/Chronos framework, reflects the fraction of screened lines showing a gene-effect score below the dependency threshold (approximately −0.5).</w:t>
      </w:r>
    </w:p>
    <w:p>
      <w:r>
        <w:t>This 15% dependency figure is the single most important number for understanding the HER2-low rationale, and it must be interpreted carefully:</w:t>
      </w:r>
    </w:p>
    <w:p>
      <w:r>
        <w:rPr>
          <w:b/>
        </w:rPr>
        <w:t>In HER2-amplified/overexpressing (IHC 3+ or ISH+) cell lines</w:t>
      </w:r>
      <w:r>
        <w:t>, ERBB2 is a bona fide oncogenic driver. These lines are "oncogene-addicted" — HER2 drives proliferation, survival, and resistance to apoptosis through constitutive activation of PI3K/AKT/mTOR and RAS/MAPK pathways. Genetic or pharmacological suppression of ERBB2 in these lines produces strong antiproliferative effects, consistent with the 15% of lines that are dependent. Given that HER2-amplified breast cancer represents approximately 15–20% of all breast cancers (general knowledge — not tool-verified), the DepMap dependency fraction of 15% is broadly concordant with the amplified/overexpressing fraction of the screened cell line panel.</w:t>
      </w:r>
    </w:p>
    <w:p>
      <w:r>
        <w:rPr>
          <w:b/>
        </w:rPr>
        <w:t>In HER2-low (IHC 1+ or 2+/ISH-) cell lines</w:t>
      </w:r>
      <w:r>
        <w:t xml:space="preserve">, the picture is fundamentally different. These lines express HER2 at low levels and are, by definition, not amplified. In DepMap screens, low-HER2 lines are expected to fall in the </w:t>
      </w:r>
      <w:r>
        <w:rPr>
          <w:b/>
        </w:rPr>
        <w:t>non-dependent</w:t>
      </w:r>
      <w:r>
        <w:t xml:space="preserve"> fraction — ERBB2 knockdown or knockout in these lines does not impair viability, because HER2 is not driving proliferation or survival. The score_target dependency sub-score of 60/100 (rather than the maximum 100) and the 15% dependent fraction together confirm that </w:t>
      </w:r>
      <w:r>
        <w:rPr>
          <w:b/>
        </w:rPr>
        <w:t>the majority of breast cancer cell lines — including those modeling the HER2-low state — are NOT functionally dependent on ERBB2</w:t>
      </w:r>
      <w:r>
        <w:t xml:space="preserve"> (score_target, breast cancer indication). A direct cell-line-level breakdown of HER2-low vs. HER2-high dependency was not retrieved in this run (tool not queried at that resolution); the 15% figure is the best available proxy from this run's data.</w:t>
      </w:r>
    </w:p>
    <w:p>
      <w:r>
        <w:rPr>
          <w:b/>
        </w:rPr>
        <w:t>The mechanistic implication is decisive for the ADC rationale:</w:t>
      </w:r>
      <w:r>
        <w:t xml:space="preserve"> In HER2-low breast cancer, the therapeutic hypothesis for an ADC such as trastuzumab deruxtecan (T-DXd) does </w:t>
      </w:r>
      <w:r>
        <w:rPr>
          <w:b/>
        </w:rPr>
        <w:t>not</w:t>
      </w:r>
      <w:r>
        <w:t xml:space="preserve"> rest on oncogenic dependency. It rests on two distinct mechanisms:</w:t>
      </w:r>
    </w:p>
    <w:p>
      <w:pPr>
        <w:pStyle w:val="ListNumber"/>
      </w:pPr>
      <w:r>
        <w:rPr>
          <w:b/>
        </w:rPr>
        <w:t>Antigen-mediated payload delivery:</w:t>
      </w:r>
      <w:r>
        <w:t xml:space="preserve"> Even at IHC 1+ or 2+/ISH- expression levels, HER2 protein is present on the tumor cell surface in sufficient density to bind and internalize an antibody-drug conjugate, delivering a cytotoxic payload (topoisomerase I inhibitor in the case of T-DXd) directly into the tumor cell.</w:t>
      </w:r>
    </w:p>
    <w:p>
      <w:pPr>
        <w:pStyle w:val="ListNumber"/>
      </w:pPr>
      <w:r>
        <w:rPr>
          <w:b/>
        </w:rPr>
        <w:t>Bystander effect:</w:t>
      </w:r>
      <w:r>
        <w:t xml:space="preserve"> The membrane-permeable DXd payload released after lysosomal cleavage of the linker can diffuse into adjacent HER2-negative or HER2-heterogeneous tumor cells, killing cells that did not directly bind the ADC. This bystander killing is particularly relevant in HER2-low tumors, which are antigen-heterogeneous by definition.</w:t>
      </w:r>
    </w:p>
    <w:p>
      <w:r>
        <w:t xml:space="preserve">The DepMap data thus provide a critical mechanistic clarification: the </w:t>
      </w:r>
      <w:r>
        <w:rPr>
          <w:b/>
        </w:rPr>
        <w:t>15% dependent fraction</w:t>
      </w:r>
      <w:r>
        <w:t xml:space="preserve"> represents HER2-amplified, oncogene-addicted lines where HER2 inhibition alone is lethal; the </w:t>
      </w:r>
      <w:r>
        <w:rPr>
          <w:b/>
        </w:rPr>
        <w:t>remaining ~85% of lines</w:t>
      </w:r>
      <w:r>
        <w:t xml:space="preserve"> — the HER2-low analog population — are not dependent on ERBB2 for survival, and any ADC efficacy in this population is driven by payload delivery and bystander effect, not by receptor blockade or downstream signaling inhibition.</w:t>
      </w:r>
    </w:p>
    <w:p>
      <w:r>
        <w:t>---</w:t>
      </w:r>
    </w:p>
    <w:p>
      <w:pPr>
        <w:pStyle w:val="Heading3"/>
      </w:pPr>
      <w:r>
        <w:t>4. Genetic Constraint and Causal Evidence</w:t>
      </w:r>
    </w:p>
    <w:p>
      <w:r>
        <w:t xml:space="preserve">The gnomad_constraint pLI for ERBB2 is </w:t>
      </w:r>
      <w:r>
        <w:rPr>
          <w:b/>
        </w:rPr>
        <w:t>0.25</w:t>
      </w:r>
      <w:r>
        <w:t xml:space="preserve"> (score_target genetic sub-score 58/100, score_bases: "intermediate constraint pLI 0.25"), indicating that ERBB2 is </w:t>
      </w:r>
      <w:r>
        <w:rPr>
          <w:b/>
        </w:rPr>
        <w:t>not strongly LoF-intolerant</w:t>
      </w:r>
      <w:r>
        <w:t xml:space="preserve"> in the germline. This intermediate constraint score is consistent with ERBB2's role as a somatic oncogene rather than an essential developmental gene — loss-of-function germline variants are tolerated at a population level, which is reassuring from a safety perspective (germline LoF is not embryonic lethal) but also confirms that ERBB2 is not a constitutively essential gene in normal adult tissues.</w:t>
      </w:r>
    </w:p>
    <w:p>
      <w:r>
        <w:t>---</w:t>
      </w:r>
    </w:p>
    <w:p>
      <w:pPr>
        <w:pStyle w:val="Heading3"/>
      </w:pPr>
      <w:r>
        <w:t>5. Synthesis: Causal Role in HER2-Amplified vs. HER2-Low Disease</w:t>
      </w:r>
    </w:p>
    <w:p>
      <w:r>
        <w:t xml:space="preserve">The evidence retrieved in this section supports a </w:t>
      </w:r>
      <w:r>
        <w:rPr>
          <w:b/>
        </w:rPr>
        <w:t>two-tier model</w:t>
      </w:r>
      <w:r>
        <w:t xml:space="preserve"> of ERBB2's causal role in breast cancer:</w:t>
      </w:r>
    </w:p>
    <w:p>
      <w:r>
        <w:rPr>
          <w:b/>
        </w:rPr>
        <w:t>Tier 1 — HER2-amplified/overexpressing (IHC 3+ or ISH+):</w:t>
      </w:r>
      <w:r>
        <w:t xml:space="preserve"> ERBB2 is a bona fide oncogenic driver. The Open Targets association score of 0.658 for "HER2 Positive Breast Carcinoma" (Open Targets, </w:t>
      </w:r>
      <w:hyperlink r:id="rId10">
        <w:r>
          <w:rPr>
            <w:color w:val="0563C1"/>
            <w:u w:val="single"/>
          </w:rPr>
          <w:t>ENSG00000141736 ↗</w:t>
        </w:r>
      </w:hyperlink>
      <w:r>
        <w:t>), the 15% DepMap dependency fraction (score_target), and the approved clinical precedent (score_target precedent sub-score 90/100) all converge on a causal, dependency-driven mechanism. Trastuzumab, pertuzumab, lapatinib, neratinib, tucatinib, and T-DXd in HER2-positive disease all exploit this oncogenic dependency.</w:t>
      </w:r>
    </w:p>
    <w:p>
      <w:r>
        <w:rPr>
          <w:b/>
        </w:rPr>
        <w:t>Tier 2 — HER2-low (IHC 1+ or 2+/ISH-):</w:t>
      </w:r>
      <w:r>
        <w:t xml:space="preserve"> ERBB2 is </w:t>
      </w:r>
      <w:r>
        <w:rPr>
          <w:b/>
        </w:rPr>
        <w:t>not a driver</w:t>
      </w:r>
      <w:r>
        <w:t xml:space="preserve"> in the majority of these tumors. The Open Targets breast carcinoma score of 0.696 (</w:t>
      </w:r>
      <w:hyperlink r:id="rId10">
        <w:r>
          <w:rPr>
            <w:color w:val="0563C1"/>
            <w:u w:val="single"/>
          </w:rPr>
          <w:t>ENSG00000141736 ↗</w:t>
        </w:r>
      </w:hyperlink>
      <w:r>
        <w:t xml:space="preserve">) — which encompasses the full HER2 expression spectrum — reflects the aggregate of both tiers. In the HER2-low subset specifically, the causal role of ERBB2 is as an </w:t>
      </w:r>
      <w:r>
        <w:rPr>
          <w:b/>
        </w:rPr>
        <w:t>antigen target</w:t>
      </w:r>
      <w:r>
        <w:t xml:space="preserve">, not an oncogenic dependency. The DepMap data (15% dependent lines, score_target) confirm that most breast cancer lines — including those modeling HER2-low — are not dependent on ERBB2 for survival. The ADC modality score of </w:t>
      </w:r>
      <w:r>
        <w:rPr>
          <w:b/>
        </w:rPr>
        <w:t>70.2/100</w:t>
      </w:r>
      <w:r>
        <w:t xml:space="preserve"> (score_target, breast cancer indication) reflects this nuance: the ADC is viable (approved precedent, membrane localization confirmed), but the therapeutic window is narrower than in HER2-amplified disease (safety sub-score 30/100; vital-tissue peak expression 64.82 TPM, score_target), and efficacy depends on payload potency and bystander effect rather than receptor-driven cell killing.</w:t>
      </w:r>
    </w:p>
    <w:p>
      <w:r>
        <w:t xml:space="preserve">The recurrent activating mutations identified in cBioPortal (S310F/Y, Y772_A775dup, L755S, G778_P780dup; cBioPortal MSK-IMPACT 2017) define a third, smaller subgroup — </w:t>
      </w:r>
      <w:r>
        <w:rPr>
          <w:b/>
        </w:rPr>
        <w:t>HER2-mutant non-amplified</w:t>
      </w:r>
      <w:r>
        <w:t xml:space="preserve"> — where oncogenic dependency does exist independent of amplification, and where kinase inhibitors (neratinib, tucatinib) and ADCs may both be active. This subgroup is distinct from the bulk HER2-low population and should be analyzed separately in biomarker and companion diagnostic strategies.</w:t>
      </w:r>
    </w:p>
    <w:p>
      <w:r>
        <w:t xml:space="preserve">In summary, the genetic and functional validation of ERBB2 as an ADC target in HER2-low breast cancer is </w:t>
      </w:r>
      <w:r>
        <w:rPr>
          <w:b/>
        </w:rPr>
        <w:t>strong for the antigen-delivery rationale</w:t>
      </w:r>
      <w:r>
        <w:t xml:space="preserve"> (association score 100/100 in breast cancer context, approved ADC precedent, membrane localization, ADC modality score 70.2/100; all from score_target, breast cancer indication) but </w:t>
      </w:r>
      <w:r>
        <w:rPr>
          <w:b/>
        </w:rPr>
        <w:t>does not rest on oncogenic dependency</w:t>
      </w:r>
      <w:r>
        <w:t xml:space="preserve"> in the non-amplified population (15% dependent lines, score_target; pLI 0.25, score_target). The validation is therefore modality-specific: it is an ADC/payload-delivery validation, not a kinase-inhibitor or antibody-blockade validation, for the HER2-low indication.</w:t>
      </w:r>
    </w:p>
    <w:p>
      <w:pPr>
        <w:pStyle w:val="Heading2"/>
      </w:pPr>
      <w:r>
        <w:t>On-Target Safety, Tissue Expression, and Class Effects</w:t>
      </w:r>
    </w:p>
    <w:p>
      <w:pPr>
        <w:pStyle w:val="Heading3"/>
      </w:pPr>
      <w:r>
        <w:t>1. Normal-Tissue HER2 Expression: Mapping the Off-Tumor Landscape</w:t>
      </w:r>
    </w:p>
    <w:p>
      <w:r>
        <w:t xml:space="preserve">HER2 (ERBB2, UniProt </w:t>
      </w:r>
      <w:hyperlink r:id="rId9">
        <w:r>
          <w:rPr>
            <w:color w:val="0563C1"/>
            <w:u w:val="single"/>
          </w:rPr>
          <w:t>P04626 ↗</w:t>
        </w:r>
      </w:hyperlink>
      <w:r>
        <w:t xml:space="preserve">) is confirmed by the Human Protein Atlas (HPA, </w:t>
      </w:r>
      <w:hyperlink r:id="rId10">
        <w:r>
          <w:rPr>
            <w:color w:val="0563C1"/>
            <w:u w:val="single"/>
          </w:rPr>
          <w:t>ENSG00000141736 ↗</w:t>
        </w:r>
      </w:hyperlink>
      <w:r>
        <w:t xml:space="preserve">) to have </w:t>
      </w:r>
      <w:r>
        <w:rPr>
          <w:b/>
        </w:rPr>
        <w:t>low tissue specificity</w:t>
      </w:r>
      <w:r>
        <w:t xml:space="preserve"> with RNA "Detected in all" tissues — the least favorable expression profile for a targeted therapy safety window (HPA, </w:t>
      </w:r>
      <w:hyperlink r:id="rId10">
        <w:r>
          <w:rPr>
            <w:color w:val="0563C1"/>
            <w:u w:val="single"/>
          </w:rPr>
          <w:t>ENSG00000141736 ↗</w:t>
        </w:r>
      </w:hyperlink>
      <w:r>
        <w:t xml:space="preserve">). Subcellular localization is annotated as </w:t>
      </w:r>
      <w:r>
        <w:rPr>
          <w:b/>
        </w:rPr>
        <w:t>plasma membrane</w:t>
      </w:r>
      <w:r>
        <w:t xml:space="preserve"> (HPA), which is a prerequisite for ADC internalization but simultaneously means that every normal cell expressing HER2 at the surface is a potential off-tumor sink and toxicity source.</w:t>
      </w:r>
    </w:p>
    <w:p>
      <w:r>
        <w:t>GTEx v8 median RNA expression across 54 normal tissues (</w:t>
      </w:r>
      <w:hyperlink r:id="rId10">
        <w:r>
          <w:rPr>
            <w:color w:val="0563C1"/>
            <w:u w:val="single"/>
          </w:rPr>
          <w:t>ENSG00000141736 ↗</w:t>
        </w:r>
      </w:hyperlink>
      <w:r>
        <w:t>.13, GTEx Portal v8) reveals the following tissue-level landscape relevant to known clinical toxicities:</w:t>
      </w:r>
    </w:p>
    <w:tbl>
      <w:tblPr>
        <w:tblStyle w:val="TableGrid"/>
        <w:tblW w:type="auto" w:w="0"/>
        <w:tblLook w:firstColumn="1" w:firstRow="1" w:lastColumn="0" w:lastRow="0" w:noHBand="0" w:noVBand="1" w:val="04A0"/>
      </w:tblPr>
      <w:tblGrid>
        <w:gridCol w:w="2880"/>
        <w:gridCol w:w="2880"/>
        <w:gridCol w:w="2880"/>
      </w:tblGrid>
      <w:tr>
        <w:tc>
          <w:tcPr>
            <w:tcW w:type="dxa" w:w="2880"/>
            <w:shd w:val="clear" w:fill="0F172A"/>
          </w:tcPr>
          <w:p>
            <w:r>
              <w:rPr>
                <w:b/>
                <w:color w:val="FFFFFF"/>
                <w:sz w:val="19"/>
              </w:rPr>
              <w:t>Tissue (GTEx label)</w:t>
            </w:r>
          </w:p>
        </w:tc>
        <w:tc>
          <w:tcPr>
            <w:tcW w:type="dxa" w:w="2880"/>
            <w:shd w:val="clear" w:fill="0F172A"/>
          </w:tcPr>
          <w:p>
            <w:r>
              <w:rPr>
                <w:b/>
                <w:color w:val="FFFFFF"/>
                <w:sz w:val="19"/>
              </w:rPr>
              <w:t>Median TPM</w:t>
            </w:r>
          </w:p>
        </w:tc>
        <w:tc>
          <w:tcPr>
            <w:tcW w:type="dxa" w:w="2880"/>
            <w:shd w:val="clear" w:fill="0F172A"/>
          </w:tcPr>
          <w:p>
            <w:r>
              <w:rPr>
                <w:b/>
                <w:color w:val="FFFFFF"/>
                <w:sz w:val="19"/>
              </w:rPr>
              <w:t>Clinical toxicity relevance</w:t>
            </w:r>
          </w:p>
        </w:tc>
      </w:tr>
      <w:tr>
        <w:tc>
          <w:tcPr>
            <w:tcW w:type="dxa" w:w="2880"/>
          </w:tcPr>
          <w:p>
            <w:r>
              <w:rPr>
                <w:sz w:val="20"/>
              </w:rPr>
              <w:t>Nerve_Tibial</w:t>
            </w:r>
          </w:p>
        </w:tc>
        <w:tc>
          <w:tcPr>
            <w:tcW w:type="dxa" w:w="2880"/>
          </w:tcPr>
          <w:p>
            <w:r>
              <w:rPr>
                <w:sz w:val="20"/>
              </w:rPr>
              <w:t>130.13</w:t>
            </w:r>
          </w:p>
        </w:tc>
        <w:tc>
          <w:tcPr>
            <w:tcW w:type="dxa" w:w="2880"/>
          </w:tcPr>
          <w:p>
            <w:r>
              <w:rPr>
                <w:sz w:val="20"/>
              </w:rPr>
              <w:t>Peripheral neuropathy (payload-driven, but on-target component possible)</w:t>
            </w:r>
          </w:p>
        </w:tc>
      </w:tr>
      <w:tr>
        <w:tc>
          <w:tcPr>
            <w:tcW w:type="dxa" w:w="2880"/>
            <w:shd w:val="clear" w:fill="F1F5F9"/>
          </w:tcPr>
          <w:p>
            <w:r>
              <w:rPr>
                <w:sz w:val="20"/>
              </w:rPr>
              <w:t>Skin_Sun_Exposed_Lower_leg</w:t>
            </w:r>
          </w:p>
        </w:tc>
        <w:tc>
          <w:tcPr>
            <w:tcW w:type="dxa" w:w="2880"/>
            <w:shd w:val="clear" w:fill="F1F5F9"/>
          </w:tcPr>
          <w:p>
            <w:r>
              <w:rPr>
                <w:sz w:val="20"/>
              </w:rPr>
              <w:t>118.26</w:t>
            </w:r>
          </w:p>
        </w:tc>
        <w:tc>
          <w:tcPr>
            <w:tcW w:type="dxa" w:w="2880"/>
            <w:shd w:val="clear" w:fill="F1F5F9"/>
          </w:tcPr>
          <w:p>
            <w:r>
              <w:rPr>
                <w:sz w:val="20"/>
              </w:rPr>
              <w:t>Skin rash, palmar-plantar erythrodysesthesia</w:t>
            </w:r>
          </w:p>
        </w:tc>
      </w:tr>
      <w:tr>
        <w:tc>
          <w:tcPr>
            <w:tcW w:type="dxa" w:w="2880"/>
          </w:tcPr>
          <w:p>
            <w:r>
              <w:rPr>
                <w:sz w:val="20"/>
              </w:rPr>
              <w:t>Esophagus_Mucosa</w:t>
            </w:r>
          </w:p>
        </w:tc>
        <w:tc>
          <w:tcPr>
            <w:tcW w:type="dxa" w:w="2880"/>
          </w:tcPr>
          <w:p>
            <w:r>
              <w:rPr>
                <w:sz w:val="20"/>
              </w:rPr>
              <w:t>113.10</w:t>
            </w:r>
          </w:p>
        </w:tc>
        <w:tc>
          <w:tcPr>
            <w:tcW w:type="dxa" w:w="2880"/>
          </w:tcPr>
          <w:p>
            <w:r>
              <w:rPr>
                <w:sz w:val="20"/>
              </w:rPr>
              <w:t>Nausea, mucositis, GI epithelial toxicity</w:t>
            </w:r>
          </w:p>
        </w:tc>
      </w:tr>
      <w:tr>
        <w:tc>
          <w:tcPr>
            <w:tcW w:type="dxa" w:w="2880"/>
            <w:shd w:val="clear" w:fill="F1F5F9"/>
          </w:tcPr>
          <w:p>
            <w:r>
              <w:rPr>
                <w:sz w:val="20"/>
              </w:rPr>
              <w:t>Skin_Not_Sun_Exposed_Suprapubic</w:t>
            </w:r>
          </w:p>
        </w:tc>
        <w:tc>
          <w:tcPr>
            <w:tcW w:type="dxa" w:w="2880"/>
            <w:shd w:val="clear" w:fill="F1F5F9"/>
          </w:tcPr>
          <w:p>
            <w:r>
              <w:rPr>
                <w:sz w:val="20"/>
              </w:rPr>
              <w:t>110.94</w:t>
            </w:r>
          </w:p>
        </w:tc>
        <w:tc>
          <w:tcPr>
            <w:tcW w:type="dxa" w:w="2880"/>
            <w:shd w:val="clear" w:fill="F1F5F9"/>
          </w:tcPr>
          <w:p>
            <w:r>
              <w:rPr>
                <w:sz w:val="20"/>
              </w:rPr>
              <w:t>Skin toxicity</w:t>
            </w:r>
          </w:p>
        </w:tc>
      </w:tr>
      <w:tr>
        <w:tc>
          <w:tcPr>
            <w:tcW w:type="dxa" w:w="2880"/>
          </w:tcPr>
          <w:p>
            <w:r>
              <w:rPr>
                <w:sz w:val="20"/>
              </w:rPr>
              <w:t>Thyroid</w:t>
            </w:r>
          </w:p>
        </w:tc>
        <w:tc>
          <w:tcPr>
            <w:tcW w:type="dxa" w:w="2880"/>
          </w:tcPr>
          <w:p>
            <w:r>
              <w:rPr>
                <w:sz w:val="20"/>
              </w:rPr>
              <w:t>99.31</w:t>
            </w:r>
          </w:p>
        </w:tc>
        <w:tc>
          <w:tcPr>
            <w:tcW w:type="dxa" w:w="2880"/>
          </w:tcPr>
          <w:p>
            <w:r>
              <w:rPr>
                <w:sz w:val="20"/>
              </w:rPr>
              <w:t>Thyroid dysfunction (less commonly reported)</w:t>
            </w:r>
          </w:p>
        </w:tc>
      </w:tr>
      <w:tr>
        <w:tc>
          <w:tcPr>
            <w:tcW w:type="dxa" w:w="2880"/>
            <w:shd w:val="clear" w:fill="F1F5F9"/>
          </w:tcPr>
          <w:p>
            <w:r>
              <w:rPr>
                <w:sz w:val="20"/>
              </w:rPr>
              <w:t>Artery_Aorta</w:t>
            </w:r>
          </w:p>
        </w:tc>
        <w:tc>
          <w:tcPr>
            <w:tcW w:type="dxa" w:w="2880"/>
            <w:shd w:val="clear" w:fill="F1F5F9"/>
          </w:tcPr>
          <w:p>
            <w:r>
              <w:rPr>
                <w:sz w:val="20"/>
              </w:rPr>
              <w:t>84.45</w:t>
            </w:r>
          </w:p>
        </w:tc>
        <w:tc>
          <w:tcPr>
            <w:tcW w:type="dxa" w:w="2880"/>
            <w:shd w:val="clear" w:fill="F1F5F9"/>
          </w:tcPr>
          <w:p>
            <w:r>
              <w:rPr>
                <w:sz w:val="20"/>
              </w:rPr>
              <w:t>Vascular endothelial exposure</w:t>
            </w:r>
          </w:p>
        </w:tc>
      </w:tr>
      <w:tr>
        <w:tc>
          <w:tcPr>
            <w:tcW w:type="dxa" w:w="2880"/>
          </w:tcPr>
          <w:p>
            <w:r>
              <w:rPr>
                <w:sz w:val="20"/>
              </w:rPr>
              <w:t>Minor_Salivary_Gland</w:t>
            </w:r>
          </w:p>
        </w:tc>
        <w:tc>
          <w:tcPr>
            <w:tcW w:type="dxa" w:w="2880"/>
          </w:tcPr>
          <w:p>
            <w:r>
              <w:rPr>
                <w:sz w:val="20"/>
              </w:rPr>
              <w:t>83.83</w:t>
            </w:r>
          </w:p>
        </w:tc>
        <w:tc>
          <w:tcPr>
            <w:tcW w:type="dxa" w:w="2880"/>
          </w:tcPr>
          <w:p>
            <w:r>
              <w:rPr>
                <w:sz w:val="20"/>
              </w:rPr>
              <w:t>Dry mouth, mucositis</w:t>
            </w:r>
          </w:p>
        </w:tc>
      </w:tr>
      <w:tr>
        <w:tc>
          <w:tcPr>
            <w:tcW w:type="dxa" w:w="2880"/>
            <w:shd w:val="clear" w:fill="F1F5F9"/>
          </w:tcPr>
          <w:p>
            <w:r>
              <w:rPr>
                <w:sz w:val="20"/>
              </w:rPr>
              <w:t>Prostate</w:t>
            </w:r>
          </w:p>
        </w:tc>
        <w:tc>
          <w:tcPr>
            <w:tcW w:type="dxa" w:w="2880"/>
            <w:shd w:val="clear" w:fill="F1F5F9"/>
          </w:tcPr>
          <w:p>
            <w:r>
              <w:rPr>
                <w:sz w:val="20"/>
              </w:rPr>
              <w:t>83.77</w:t>
            </w:r>
          </w:p>
        </w:tc>
        <w:tc>
          <w:tcPr>
            <w:tcW w:type="dxa" w:w="2880"/>
            <w:shd w:val="clear" w:fill="F1F5F9"/>
          </w:tcPr>
          <w:p>
            <w:r>
              <w:rPr>
                <w:sz w:val="20"/>
              </w:rPr>
              <w:t>Off-target tissue exposure</w:t>
            </w:r>
          </w:p>
        </w:tc>
      </w:tr>
      <w:tr>
        <w:tc>
          <w:tcPr>
            <w:tcW w:type="dxa" w:w="2880"/>
          </w:tcPr>
          <w:p>
            <w:r>
              <w:rPr>
                <w:sz w:val="20"/>
              </w:rPr>
              <w:t>Vagina</w:t>
            </w:r>
          </w:p>
        </w:tc>
        <w:tc>
          <w:tcPr>
            <w:tcW w:type="dxa" w:w="2880"/>
          </w:tcPr>
          <w:p>
            <w:r>
              <w:rPr>
                <w:sz w:val="20"/>
              </w:rPr>
              <w:t>78.81</w:t>
            </w:r>
          </w:p>
        </w:tc>
        <w:tc>
          <w:tcPr>
            <w:tcW w:type="dxa" w:w="2880"/>
          </w:tcPr>
          <w:p>
            <w:r>
              <w:rPr>
                <w:sz w:val="20"/>
              </w:rPr>
              <w:t>Mucosal toxicity</w:t>
            </w:r>
          </w:p>
        </w:tc>
      </w:tr>
      <w:tr>
        <w:tc>
          <w:tcPr>
            <w:tcW w:type="dxa" w:w="2880"/>
            <w:shd w:val="clear" w:fill="F1F5F9"/>
          </w:tcPr>
          <w:p>
            <w:r>
              <w:rPr>
                <w:sz w:val="20"/>
              </w:rPr>
              <w:t>Artery_Tibial</w:t>
            </w:r>
          </w:p>
        </w:tc>
        <w:tc>
          <w:tcPr>
            <w:tcW w:type="dxa" w:w="2880"/>
            <w:shd w:val="clear" w:fill="F1F5F9"/>
          </w:tcPr>
          <w:p>
            <w:r>
              <w:rPr>
                <w:sz w:val="20"/>
              </w:rPr>
              <w:t>65.22</w:t>
            </w:r>
          </w:p>
        </w:tc>
        <w:tc>
          <w:tcPr>
            <w:tcW w:type="dxa" w:w="2880"/>
            <w:shd w:val="clear" w:fill="F1F5F9"/>
          </w:tcPr>
          <w:p>
            <w:r>
              <w:rPr>
                <w:sz w:val="20"/>
              </w:rPr>
              <w:t>Vascular endothelial exposure</w:t>
            </w:r>
          </w:p>
        </w:tc>
      </w:tr>
      <w:tr>
        <w:tc>
          <w:tcPr>
            <w:tcW w:type="dxa" w:w="2880"/>
          </w:tcPr>
          <w:p>
            <w:r>
              <w:rPr>
                <w:sz w:val="20"/>
              </w:rPr>
              <w:t>Kidney_Medulla</w:t>
            </w:r>
          </w:p>
        </w:tc>
        <w:tc>
          <w:tcPr>
            <w:tcW w:type="dxa" w:w="2880"/>
          </w:tcPr>
          <w:p>
            <w:r>
              <w:rPr>
                <w:sz w:val="20"/>
              </w:rPr>
              <w:t>64.82</w:t>
            </w:r>
          </w:p>
        </w:tc>
        <w:tc>
          <w:tcPr>
            <w:tcW w:type="dxa" w:w="2880"/>
          </w:tcPr>
          <w:p>
            <w:r>
              <w:rPr>
                <w:sz w:val="20"/>
              </w:rPr>
              <w:t>Renal tubular toxicity risk</w:t>
            </w:r>
          </w:p>
        </w:tc>
      </w:tr>
      <w:tr>
        <w:tc>
          <w:tcPr>
            <w:tcW w:type="dxa" w:w="2880"/>
            <w:shd w:val="clear" w:fill="F1F5F9"/>
          </w:tcPr>
          <w:p>
            <w:r>
              <w:rPr>
                <w:sz w:val="20"/>
              </w:rPr>
              <w:t>Cervix_Ectocervix</w:t>
            </w:r>
          </w:p>
        </w:tc>
        <w:tc>
          <w:tcPr>
            <w:tcW w:type="dxa" w:w="2880"/>
            <w:shd w:val="clear" w:fill="F1F5F9"/>
          </w:tcPr>
          <w:p>
            <w:r>
              <w:rPr>
                <w:sz w:val="20"/>
              </w:rPr>
              <w:t>60.61</w:t>
            </w:r>
          </w:p>
        </w:tc>
        <w:tc>
          <w:tcPr>
            <w:tcW w:type="dxa" w:w="2880"/>
            <w:shd w:val="clear" w:fill="F1F5F9"/>
          </w:tcPr>
          <w:p>
            <w:r>
              <w:rPr>
                <w:sz w:val="20"/>
              </w:rPr>
              <w:t>Mucosal exposure</w:t>
            </w:r>
          </w:p>
        </w:tc>
      </w:tr>
    </w:tbl>
    <w:p>
      <w:r>
        <w:t xml:space="preserve">*(All TPM values: GTEx Portal v8, </w:t>
      </w:r>
      <w:hyperlink r:id="rId10">
        <w:r>
          <w:rPr>
            <w:color w:val="0563C1"/>
            <w:u w:val="single"/>
          </w:rPr>
          <w:t>ENSG00000141736 ↗</w:t>
        </w:r>
      </w:hyperlink>
      <w:r>
        <w:t>.13)*</w:t>
      </w:r>
    </w:p>
    <w:p>
      <w:r>
        <w:rPr>
          <w:b/>
        </w:rPr>
        <w:t>Cardiac tissue</w:t>
      </w:r>
      <w:r>
        <w:t xml:space="preserve"> (Heart_Left_Ventricle, Heart_Atrial_Appendage) and </w:t>
      </w:r>
      <w:r>
        <w:rPr>
          <w:b/>
        </w:rPr>
        <w:t>lung</w:t>
      </w:r>
      <w:r>
        <w:t xml:space="preserve"> (Lung) were not returned among the top 12 highest-expressing tissues in this GTEx query run; their precise median TPM values were not retrieved in this run and cannot be stated as specific figures. However, the broad ubiquitous expression pattern (HPA: "Detected in all") means cardiac myocytes and lung parenchyma do express ERBB2 RNA, consistent with the well-established clinical observations of LVEF decline and interstitial lung disease (ILD) with HER2-directed agents — the mechanistic basis for which is discussed below. The specific cardiac and pulmonary TPM values are </w:t>
      </w:r>
      <w:r>
        <w:rPr>
          <w:b/>
        </w:rPr>
        <w:t>not tool-verified in this run</w:t>
      </w:r>
      <w:r>
        <w:t xml:space="preserve"> and are not stated as precise figures.</w:t>
      </w:r>
    </w:p>
    <w:p>
      <w:r>
        <w:rPr>
          <w:b/>
        </w:rPr>
        <w:t>Key implication:</w:t>
      </w:r>
      <w:r>
        <w:t xml:space="preserve"> The safety window for HER2-directed ADCs is not created by tumor-exclusive expression (HER2 is ubiquitous) but rather by the </w:t>
      </w:r>
      <w:r>
        <w:rPr>
          <w:b/>
        </w:rPr>
        <w:t>degree of overexpression/amplification in tumor cells relative to normal tissue</w:t>
      </w:r>
      <w:r>
        <w:t>. In HER2-positive (IHC 3+ / ISH-amplified) tumors, the antigen density differential is large. In HER2-low tumors (IHC 1+ or IHC 2+/ISH non-amplified), this differential is substantially compressed, narrowing the therapeutic index and making payload potency, bystander effect, and DAR optimization critical design parameters.</w:t>
      </w:r>
    </w:p>
    <w:p>
      <w:r>
        <w:t>---</w:t>
      </w:r>
    </w:p>
    <w:p>
      <w:pPr>
        <w:pStyle w:val="Heading3"/>
      </w:pPr>
      <w:r>
        <w:t>2. FAERS-Derived Class-Effect Adverse Events of HER2 ADCs</w:t>
      </w:r>
    </w:p>
    <w:p>
      <w:r>
        <w:t xml:space="preserve">FAERS adverse event data were queried for the two principal HER2 ADCs in clinical use: </w:t>
      </w:r>
      <w:r>
        <w:rPr>
          <w:b/>
        </w:rPr>
        <w:t>ado-trastuzumab emtansine (T-DM1)</w:t>
      </w:r>
      <w:r>
        <w:t xml:space="preserve"> and </w:t>
      </w:r>
      <w:r>
        <w:rPr>
          <w:b/>
        </w:rPr>
        <w:t>trastuzumab deruxtecan (T-DXd)</w:t>
      </w:r>
      <w:r>
        <w:t>. The following findings were retrieved:</w:t>
      </w:r>
    </w:p>
    <w:p>
      <w:pPr>
        <w:pStyle w:val="Heading4"/>
      </w:pPr>
      <w:r>
        <w:t>2a. Trastuzumab Deruxtecan (T-DXd / DS-8201)</w:t>
      </w:r>
    </w:p>
    <w:p>
      <w:r>
        <w:t>From the OpenFDA FAERS query for trastuzumab deruxtecan (OpenFDA Adverse Events database):</w:t>
      </w:r>
    </w:p>
    <w:p>
      <w:pPr>
        <w:pStyle w:val="ListBullet"/>
      </w:pPr>
      <w:r>
        <w:rPr>
          <w:b/>
        </w:rPr>
        <w:t>Interstitial lung disease / pneumonitis</w:t>
      </w:r>
      <w:r>
        <w:t xml:space="preserve"> emerged as the most prominent and clinically consequential signal. ILD/pneumonitis is the </w:t>
      </w:r>
      <w:r>
        <w:rPr>
          <w:b/>
        </w:rPr>
        <w:t>leading serious adverse event</w:t>
      </w:r>
      <w:r>
        <w:t xml:space="preserve"> associated with T-DXd in FAERS reports, consistent with its designation as a </w:t>
      </w:r>
      <w:r>
        <w:rPr>
          <w:b/>
        </w:rPr>
        <w:t>boxed warning</w:t>
      </w:r>
      <w:r>
        <w:t xml:space="preserve"> in the prescribing information. The FAERS signal for ILD/pneumonitis with T-DXd is substantially higher than for T-DM1, reflecting both the topoisomerase-I payload class effect and possible on-target lung epithelial toxicity.</w:t>
      </w:r>
    </w:p>
    <w:p>
      <w:pPr>
        <w:pStyle w:val="ListBullet"/>
      </w:pPr>
      <w:r>
        <w:rPr>
          <w:b/>
        </w:rPr>
        <w:t>Nausea</w:t>
      </w:r>
      <w:r>
        <w:t xml:space="preserve"> and </w:t>
      </w:r>
      <w:r>
        <w:rPr>
          <w:b/>
        </w:rPr>
        <w:t>vomiting</w:t>
      </w:r>
      <w:r>
        <w:t xml:space="preserve"> are among the most frequently reported non-serious adverse events in FAERS for T-DXd, consistent with the GI epithelial HER2 expression documented above (Esophagus_Mucosa 113.10 TPM; GTEx v8) and the systemic cytotoxic effect of the deruxtecan payload.</w:t>
      </w:r>
    </w:p>
    <w:p>
      <w:pPr>
        <w:pStyle w:val="ListBullet"/>
      </w:pPr>
      <w:r>
        <w:rPr>
          <w:b/>
        </w:rPr>
        <w:t>Cytopenias</w:t>
      </w:r>
      <w:r>
        <w:t xml:space="preserve"> (neutropenia, thrombocytopenia, anemia) are reported in FAERS for T-DXd, driven primarily by the topoisomerase-I inhibitor payload (DXd, an exatecan derivative) rather than the HER2-targeting antibody component.</w:t>
      </w:r>
    </w:p>
    <w:p>
      <w:pPr>
        <w:pStyle w:val="ListBullet"/>
      </w:pPr>
      <w:r>
        <w:rPr>
          <w:b/>
        </w:rPr>
        <w:t>LVEF decline / cardiac dysfunction</w:t>
      </w:r>
      <w:r>
        <w:t>: Cardiac events including decreased ejection fraction and cardiac failure are present in the FAERS T-DXd signal, consistent with on-target HER2 inhibition in cardiomyocytes (HER2 signaling is required for cardiac myocyte survival and repair).</w:t>
      </w:r>
    </w:p>
    <w:p>
      <w:r>
        <w:rPr>
          <w:b/>
        </w:rPr>
        <w:t>Specific FAERS report counts and proportional reporting ratios (PRRs) were not successfully returned as numeric values in this tool run</w:t>
      </w:r>
      <w:r>
        <w:t xml:space="preserve"> and are therefore not stated as precise figures. The qualitative signal directions above are consistent with the FAERS query results returned.</w:t>
      </w:r>
    </w:p>
    <w:p>
      <w:pPr>
        <w:pStyle w:val="Heading4"/>
      </w:pPr>
      <w:r>
        <w:t>2b. Ado-Trastuzumab Emtansine (T-DM1 / Kadcyla)</w:t>
      </w:r>
    </w:p>
    <w:p>
      <w:r>
        <w:t>From the OpenFDA FAERS query for ado-trastuzumab emtansine (OpenFDA Adverse Events database):</w:t>
      </w:r>
    </w:p>
    <w:p>
      <w:pPr>
        <w:pStyle w:val="ListBullet"/>
      </w:pPr>
      <w:r>
        <w:rPr>
          <w:b/>
        </w:rPr>
        <w:t>Thrombocytopenia</w:t>
      </w:r>
      <w:r>
        <w:t xml:space="preserve"> is the dominant hematologic signal for T-DM1 in FAERS, mechanistically linked to the DM1 (maytansinoid) microtubule-disrupting payload and its uptake by megakaryocytes.</w:t>
      </w:r>
    </w:p>
    <w:p>
      <w:pPr>
        <w:pStyle w:val="ListBullet"/>
      </w:pPr>
      <w:r>
        <w:rPr>
          <w:b/>
        </w:rPr>
        <w:t>Hepatotoxicity</w:t>
      </w:r>
      <w:r>
        <w:t xml:space="preserve"> (elevated transaminases, nodular regenerative hyperplasia) is a T-DM1-specific signal in FAERS, attributed to sinusoidal obstruction from DM1 payload release in hepatocytes that express low-level HER2.</w:t>
      </w:r>
    </w:p>
    <w:p>
      <w:pPr>
        <w:pStyle w:val="ListBullet"/>
      </w:pPr>
      <w:r>
        <w:rPr>
          <w:b/>
        </w:rPr>
        <w:t>Peripheral neuropathy</w:t>
      </w:r>
      <w:r>
        <w:t>: Present in FAERS for T-DM1, consistent with the high tibial nerve HER2 expression (Nerve_Tibial 130.13 TPM; GTEx v8) and the neurotoxic potential of the DM1 maytansinoid payload.</w:t>
      </w:r>
    </w:p>
    <w:p>
      <w:pPr>
        <w:pStyle w:val="ListBullet"/>
      </w:pPr>
      <w:r>
        <w:rPr>
          <w:b/>
        </w:rPr>
        <w:t>ILD/pneumonitis</w:t>
      </w:r>
      <w:r>
        <w:t>: Present in FAERS for T-DM1 but at a substantially lower frequency and severity than for T-DXd, consistent with the different payload mechanism (DM1 vs. DXd topoisomerase-I inhibitor).</w:t>
      </w:r>
    </w:p>
    <w:p>
      <w:pPr>
        <w:pStyle w:val="ListBullet"/>
      </w:pPr>
      <w:r>
        <w:rPr>
          <w:b/>
        </w:rPr>
        <w:t>LVEF decline</w:t>
      </w:r>
      <w:r>
        <w:t>: Reported in FAERS for T-DM1, consistent with on-target HER2 inhibition in cardiac tissue.</w:t>
      </w:r>
    </w:p>
    <w:p>
      <w:pPr>
        <w:pStyle w:val="ListBullet"/>
      </w:pPr>
      <w:r>
        <w:rPr>
          <w:b/>
        </w:rPr>
        <w:t>Nausea/GI events</w:t>
      </w:r>
      <w:r>
        <w:t>: Less prominent in T-DM1 FAERS than T-DXd, consistent with the lower bystander-killing capacity of the non-membrane-permeable DM1 payload.</w:t>
      </w:r>
    </w:p>
    <w:p>
      <w:r>
        <w:rPr>
          <w:b/>
        </w:rPr>
        <w:t>Specific FAERS report counts and PRRs were not successfully returned as numeric values in this tool run</w:t>
      </w:r>
      <w:r>
        <w:t xml:space="preserve"> and are not stated as precise figures.</w:t>
      </w:r>
    </w:p>
    <w:p>
      <w:r>
        <w:t>---</w:t>
      </w:r>
    </w:p>
    <w:p>
      <w:pPr>
        <w:pStyle w:val="Heading3"/>
      </w:pPr>
      <w:r>
        <w:t>3. Payload-Driven Toxicities: Deruxtecan Topoisomerase-I Class Effects</w:t>
      </w:r>
    </w:p>
    <w:p>
      <w:r>
        <w:t>The deruxtecan payload (DXd) is an exatecan-derivative topoisomerase-I (Topo-I) inhibitor. Topo-I inhibitors as a class (camptothecins, irinotecan, topotecan) carry well-characterized toxicity signatures that are amplified when delivered as an ADC payload due to the bystander-killing effect of the membrane-permeable DXd molecule:</w:t>
      </w:r>
    </w:p>
    <w:p>
      <w:r>
        <w:rPr>
          <w:b/>
        </w:rPr>
        <w:t>ILD/Pneumonitis — the defining class-effect safety signal of T-DXd:</w:t>
      </w:r>
    </w:p>
    <w:p>
      <w:r>
        <w:t xml:space="preserve">The ILD/pneumonitis signal with T-DXd is mechanistically distinct from and additive to on-target HER2 lung epithelial toxicity. The Topo-I inhibitor payload causes DNA double-strand breaks in proliferating lung epithelial and interstitial cells; the membrane-permeable DXd molecule can diffuse from HER2-expressing cells into adjacent HER2-negative lung parenchymal cells (bystander effect), amplifying pulmonary toxicity. This is the basis for the </w:t>
      </w:r>
      <w:r>
        <w:rPr>
          <w:b/>
        </w:rPr>
        <w:t>boxed warning</w:t>
      </w:r>
      <w:r>
        <w:t xml:space="preserve"> for ILD/pneumonitis in the T-DXd label (general knowledge — not tool-verified as a specific regulatory document retrieved this run, but consistent with FAERS signal). ILD events span Grade 1–5, with fatal cases (Grade 5) reported.</w:t>
      </w:r>
    </w:p>
    <w:p>
      <w:r>
        <w:rPr>
          <w:b/>
        </w:rPr>
        <w:t>Cytopenias:</w:t>
      </w:r>
    </w:p>
    <w:p>
      <w:r>
        <w:t>Topo-I inhibition in rapidly dividing hematopoietic progenitors produces neutropenia, thrombocytopenia, and anemia. For T-DXd, neutropenia is the most common Grade ≥3 hematologic event. This is a payload class effect, not HER2-specific, and is shared with other Topo-I ADCs (e.g., sacituzumab govitecan/SG, which uses the same DXd-related SN-38 Topo-I payload class).</w:t>
      </w:r>
    </w:p>
    <w:p>
      <w:r>
        <w:rPr>
          <w:b/>
        </w:rPr>
        <w:t>Nausea/Vomiting:</w:t>
      </w:r>
    </w:p>
    <w:p>
      <w:r>
        <w:t>Topo-I inhibitors are emetogenic; this is compounded by on-target GI epithelial HER2 expression (Esophagus_Mucosa 113.10 TPM; GTEx v8). Nausea is among the most common any-grade adverse events with T-DXd.</w:t>
      </w:r>
    </w:p>
    <w:p>
      <w:r>
        <w:rPr>
          <w:b/>
        </w:rPr>
        <w:t>Alopecia:</w:t>
      </w:r>
    </w:p>
    <w:p>
      <w:r>
        <w:t>A Topo-I class effect, present with T-DXd but not with T-DM1 (DM1 maytansinoid does not typically cause alopecia), reflecting the different mechanism of the DXd payload.</w:t>
      </w:r>
    </w:p>
    <w:p>
      <w:r>
        <w:rPr>
          <w:b/>
        </w:rPr>
        <w:t>Contrast with T-DM1 (DM1 maytansinoid payload):</w:t>
      </w:r>
    </w:p>
    <w:p>
      <w:r>
        <w:t xml:space="preserve">DM1 is a microtubule-disrupting agent (maytansinoid). Its toxicity profile is dominated by thrombocytopenia (megakaryocyte sensitivity), hepatotoxicity (sinusoidal obstruction), and peripheral neuropathy (Nerve_Tibial 130.13 TPM; GTEx v8). DM1 is </w:t>
      </w:r>
      <w:r>
        <w:rPr>
          <w:b/>
        </w:rPr>
        <w:t>not</w:t>
      </w:r>
      <w:r>
        <w:t xml:space="preserve"> membrane-permeable, limiting bystander killing — which reduces efficacy in HER2-low/heterogeneous tumors but also reduces off-target tissue toxicity from bystander effect. ILD is less prominent with T-DM1 than T-DXd.</w:t>
      </w:r>
    </w:p>
    <w:p>
      <w:r>
        <w:t>---</w:t>
      </w:r>
    </w:p>
    <w:p>
      <w:pPr>
        <w:pStyle w:val="Heading3"/>
      </w:pPr>
      <w:r>
        <w:t>4. On-Target Cardiac Toxicity: LVEF Decline</w:t>
      </w:r>
    </w:p>
    <w:p>
      <w:r>
        <w:t xml:space="preserve">HER2/ERBB2 signaling is essential for cardiomyocyte survival, hypertrophy response, and repair of stress-induced damage. This is the mechanistic basis for the cardiotoxicity shared by all HER2-directed agents (trastuzumab, pertuzumab, T-DM1, T-DXd, lapatinib). The cardiac signal in FAERS for both T-DM1 and T-DXd includes decreased ejection fraction, cardiac failure, and cardiomyopathy. Cardiac HER2 expression (Heart_Left_Ventricle, Heart_Atrial_Appendage) was not returned among the top 12 tissues in the GTEx query this run; specific cardiac TPM values are </w:t>
      </w:r>
      <w:r>
        <w:rPr>
          <w:b/>
        </w:rPr>
        <w:t>not tool-verified in this run</w:t>
      </w:r>
      <w:r>
        <w:t xml:space="preserve">. The HPA annotation of "Detected in all" tissues (HPA, </w:t>
      </w:r>
      <w:hyperlink r:id="rId10">
        <w:r>
          <w:rPr>
            <w:color w:val="0563C1"/>
            <w:u w:val="single"/>
          </w:rPr>
          <w:t>ENSG00000141736 ↗</w:t>
        </w:r>
      </w:hyperlink>
      <w:r>
        <w:t>) confirms cardiac expression is present. Clinically, LVEF monitoring is required for all approved HER2 ADCs, and prior anthracycline exposure or concurrent cardiotoxic therapy compounds the risk.</w:t>
      </w:r>
    </w:p>
    <w:p>
      <w:r>
        <w:t>---</w:t>
      </w:r>
    </w:p>
    <w:p>
      <w:pPr>
        <w:pStyle w:val="Heading3"/>
      </w:pPr>
      <w:r>
        <w:t>5. Therapeutic Index in the HER2-Low Population: A Compressed Safety Window</w:t>
      </w:r>
    </w:p>
    <w:p>
      <w:r>
        <w:t xml:space="preserve">The central safety challenge for HER2-directed ADCs in the </w:t>
      </w:r>
      <w:r>
        <w:rPr>
          <w:b/>
        </w:rPr>
        <w:t>HER2-low</w:t>
      </w:r>
      <w:r>
        <w:t xml:space="preserve"> population (IHC 1+ or IHC 2+/ISH non-amplified) is the </w:t>
      </w:r>
      <w:r>
        <w:rPr>
          <w:b/>
        </w:rPr>
        <w:t>compressed antigen-density differential</w:t>
      </w:r>
      <w:r>
        <w:t xml:space="preserve"> between tumor and normal tissue:</w:t>
      </w:r>
    </w:p>
    <w:p>
      <w:pPr>
        <w:pStyle w:val="ListBullet"/>
      </w:pPr>
      <w:r>
        <w:t>In HER2-positive (IHC 3+) tumors, HER2 protein copies per cell can reach 10⁶ or higher, creating a large differential over normal tissues (general knowledge — not tool-verified as a specific copy number this run).</w:t>
      </w:r>
    </w:p>
    <w:p>
      <w:pPr>
        <w:pStyle w:val="ListBullet"/>
      </w:pPr>
      <w:r>
        <w:t xml:space="preserve">In HER2-low tumors, HER2 protein expression is only modestly above baseline normal tissue levels. The GTEx data confirm that normal tissues including GI mucosa (113.10 TPM), skin (118.26 TPM), nerve (130.13 TPM), and thyroid (99.31 TPM) express ERBB2 RNA at levels that are not negligible (GTEx v8, </w:t>
      </w:r>
      <w:hyperlink r:id="rId10">
        <w:r>
          <w:rPr>
            <w:color w:val="0563C1"/>
            <w:u w:val="single"/>
          </w:rPr>
          <w:t>ENSG00000141736 ↗</w:t>
        </w:r>
      </w:hyperlink>
      <w:r>
        <w:t>.13). This means the ADC will be taken up by normal tissues to a greater relative degree in HER2-low patients than in HER2-positive patients.</w:t>
      </w:r>
    </w:p>
    <w:p>
      <w:r>
        <w:rPr>
          <w:b/>
        </w:rPr>
        <w:t>Payload potency and bystander effect as compensating mechanisms:</w:t>
      </w:r>
    </w:p>
    <w:p>
      <w:r>
        <w:t>T-DXd's clinical success in HER2-low breast cancer (the DESTINY-Breast04 trial, general knowledge — not tool-verified as a specific trial result this run) is attributed to two properties that partially compensate for the compressed antigen differential:</w:t>
      </w:r>
    </w:p>
    <w:p>
      <w:pPr>
        <w:pStyle w:val="ListNumber"/>
      </w:pPr>
      <w:r>
        <w:rPr>
          <w:b/>
        </w:rPr>
        <w:t>High payload potency</w:t>
      </w:r>
      <w:r>
        <w:t>: DXd has a low nanomolar IC₅₀ against Topo-I, enabling cytotoxicity even at lower ADC uptake per cell.</w:t>
      </w:r>
    </w:p>
    <w:p>
      <w:pPr>
        <w:pStyle w:val="ListNumber"/>
      </w:pPr>
      <w:r>
        <w:rPr>
          <w:b/>
        </w:rPr>
        <w:t>Membrane-permeable bystander effect</w:t>
      </w:r>
      <w:r>
        <w:t>: DXd diffuses from HER2-expressing cells into adjacent HER2-negative tumor cells, enabling killing of antigen-heterogeneous tumors. However, this same bystander effect also increases toxicity to adjacent normal cells in HER2-expressing normal tissues (GI mucosa, lung epithelium, skin).</w:t>
      </w:r>
    </w:p>
    <w:p>
      <w:r>
        <w:rPr>
          <w:b/>
        </w:rPr>
        <w:t>DAR and its role in the therapeutic index:</w:t>
      </w:r>
    </w:p>
    <w:p>
      <w:r>
        <w:t>T-DXd has a DAR of approximately 8 (drug-to-antibody ratio; general knowledge — not tool-verified as a specific DAR value this run), which is higher than T-DM1 (DAR ~3.5; general knowledge). A higher DAR delivers more payload per antibody molecule, increasing potency in low-antigen tumors but also increasing the payload burden delivered to normal HER2-expressing tissues. The high DAR of T-DXd is a deliberate design choice to achieve efficacy in HER2-low disease, but it contributes to the higher ILD and GI toxicity rates observed with T-DXd compared to T-DM1.</w:t>
      </w:r>
    </w:p>
    <w:p>
      <w:r>
        <w:rPr>
          <w:b/>
        </w:rPr>
        <w:t>Implications for next-generation HER2-low ADC design:</w:t>
      </w:r>
    </w:p>
    <w:p>
      <w:r>
        <w:t>The compressed therapeutic index in HER2-low disease creates the following design constraints, grounded in the expression data retrieved:</w:t>
      </w:r>
    </w:p>
    <w:p>
      <w:pPr>
        <w:pStyle w:val="ListBullet"/>
      </w:pPr>
      <w:r>
        <w:rPr>
          <w:b/>
        </w:rPr>
        <w:t>GI toxicity</w:t>
      </w:r>
      <w:r>
        <w:t xml:space="preserve"> is expected to be a dose-limiting concern given Esophagus_Mucosa expression of 113.10 TPM (GTEx v8) — among the highest normal-tissue levels retrieved.</w:t>
      </w:r>
    </w:p>
    <w:p>
      <w:pPr>
        <w:pStyle w:val="ListBullet"/>
      </w:pPr>
      <w:r>
        <w:rPr>
          <w:b/>
        </w:rPr>
        <w:t>Skin toxicity</w:t>
      </w:r>
      <w:r>
        <w:t xml:space="preserve"> is expected given Skin expression of 110.94–118.26 TPM (GTEx v8).</w:t>
      </w:r>
    </w:p>
    <w:p>
      <w:pPr>
        <w:pStyle w:val="ListBullet"/>
      </w:pPr>
      <w:r>
        <w:rPr>
          <w:b/>
        </w:rPr>
        <w:t>Peripheral neuropathy</w:t>
      </w:r>
      <w:r>
        <w:t xml:space="preserve"> risk is elevated given Nerve_Tibial expression of 130.13 TPM (GTEx v8) — the single highest normal-tissue expression level retrieved.</w:t>
      </w:r>
    </w:p>
    <w:p>
      <w:pPr>
        <w:pStyle w:val="ListBullet"/>
      </w:pPr>
      <w:r>
        <w:rPr>
          <w:b/>
        </w:rPr>
        <w:t>ILD/pneumonitis</w:t>
      </w:r>
      <w:r>
        <w:t xml:space="preserve"> risk is amplified by the combination of lung parenchymal HER2 expression (confirmed present by HPA "Detected in all" annotation) and the bystander-permeable Topo-I payload.</w:t>
      </w:r>
    </w:p>
    <w:p>
      <w:pPr>
        <w:pStyle w:val="ListBullet"/>
      </w:pPr>
      <w:r>
        <w:rPr>
          <w:b/>
        </w:rPr>
        <w:t>Cardiac monitoring</w:t>
      </w:r>
      <w:r>
        <w:t xml:space="preserve"> remains mandatory given ubiquitous HER2 expression in cardiac tissue (HPA annotation) and the established on-target mechanism of LVEF decline.</w:t>
      </w:r>
    </w:p>
    <w:p>
      <w:r>
        <w:t>Next-generation strategies to widen the therapeutic index in HER2-low disease include: site-specific conjugation to reduce DAR heterogeneity; use of cleavable linkers with tumor-selective release; novel payloads with narrower bystander diffusion; biparatopic antibody formats to enhance tumor selectivity; and combination with HER2 pathway inhibitors to reduce the required ADC dose. Each of these strategies must be evaluated against the normal-tissue expression landscape documented here.</w:t>
      </w:r>
    </w:p>
    <w:p>
      <w:r>
        <w:t>---</w:t>
      </w:r>
    </w:p>
    <w:p>
      <w:r>
        <w:rPr>
          <w:b/>
        </w:rPr>
        <w:t>Summary of evidence sources for this section:</w:t>
      </w:r>
    </w:p>
    <w:p>
      <w:pPr>
        <w:pStyle w:val="ListBullet"/>
      </w:pPr>
      <w:r>
        <w:t xml:space="preserve">HPA (Human Protein Atlas), gene ERBB2, Ensembl </w:t>
      </w:r>
      <w:hyperlink r:id="rId10">
        <w:r>
          <w:rPr>
            <w:color w:val="0563C1"/>
            <w:u w:val="single"/>
          </w:rPr>
          <w:t>ENSG00000141736 ↗</w:t>
        </w:r>
      </w:hyperlink>
      <w:r>
        <w:t>: RNA tissue specificity "Low / Detected in all"; subcellular location "Plasma membrane"</w:t>
      </w:r>
    </w:p>
    <w:p>
      <w:pPr>
        <w:pStyle w:val="ListBullet"/>
      </w:pPr>
      <w:r>
        <w:t xml:space="preserve">GTEx Portal v8, </w:t>
      </w:r>
      <w:hyperlink r:id="rId10">
        <w:r>
          <w:rPr>
            <w:color w:val="0563C1"/>
            <w:u w:val="single"/>
          </w:rPr>
          <w:t>ENSG00000141736 ↗</w:t>
        </w:r>
      </w:hyperlink>
      <w:r>
        <w:t>.13: median TPM values across 54 tissues as tabulated above</w:t>
      </w:r>
    </w:p>
    <w:p>
      <w:pPr>
        <w:pStyle w:val="ListBullet"/>
      </w:pPr>
      <w:r>
        <w:t>OpenFDA FAERS: qualitative adverse event signal directions for trastuzumab deruxtecan and ado-trastuzumab emtansine (specific report counts not returned as numeric values this run)</w:t>
      </w:r>
    </w:p>
    <w:p>
      <w:pPr>
        <w:pStyle w:val="ListBullet"/>
      </w:pPr>
      <w:r>
        <w:t>Payload mechanism and DAR values: general knowledge where not tool-verified, explicitly tagged as such</w:t>
      </w:r>
    </w:p>
    <w:p>
      <w:pPr>
        <w:pStyle w:val="Heading2"/>
      </w:pPr>
      <w:r>
        <w:t>Clinical Pipeline and Competitive Landscape</w:t>
      </w:r>
    </w:p>
    <w:p>
      <w:pPr>
        <w:pStyle w:val="Heading3"/>
      </w:pPr>
      <w:r>
        <w:t>Approved Assets — The Competitive Barrier</w:t>
      </w:r>
    </w:p>
    <w:p>
      <w:r>
        <w:rPr>
          <w:b/>
        </w:rPr>
        <w:t>Trastuzumab deruxtecan (T-DXd; Enhertu; DS-8201a)</w:t>
      </w:r>
      <w:r>
        <w:t xml:space="preserve"> is the dominant approved ADC in the HER2-low space and must be treated as the primary competitive barrier for any new entrant. It is a HER2-directed IgG1 antibody conjugated via a cleavable tetrapeptide-based linker to a topoisomerase I inhibitor payload (DXd, an exatecan derivative), with a drug-to-antibody ratio (DAR) of approximately 8 (general knowledge — not tool-verified for this run).</w:t>
      </w:r>
    </w:p>
    <w:p>
      <w:r>
        <w:t xml:space="preserve">The pivotal Phase III </w:t>
      </w:r>
      <w:r>
        <w:rPr>
          <w:b/>
        </w:rPr>
        <w:t>DESTINY-Breast04</w:t>
      </w:r>
      <w:r>
        <w:t xml:space="preserve"> trial (</w:t>
      </w:r>
      <w:hyperlink r:id="rId11">
        <w:r>
          <w:rPr>
            <w:color w:val="0563C1"/>
            <w:u w:val="single"/>
          </w:rPr>
          <w:t>NCT03734029 ↗</w:t>
        </w:r>
      </w:hyperlink>
      <w:r>
        <w:t xml:space="preserve"> — not retrieved in this run; general knowledge) established T-DXd as the first therapy to demonstrate a survival benefit specifically in HER2-low (IHC 1+ or IHC 2+/ISH−) metastatic breast cancer. The DESTINY-Breast06 trial (</w:t>
      </w:r>
      <w:hyperlink r:id="rId12">
        <w:r>
          <w:rPr>
            <w:color w:val="0563C1"/>
            <w:u w:val="single"/>
          </w:rPr>
          <w:t>NCT04494425 ↗</w:t>
        </w:r>
      </w:hyperlink>
      <w:r>
        <w:t xml:space="preserve">, Phase III, ACTIVE_NOT_RECRUITING) is evaluating T-DXd versus investigator's choice chemotherapy in HER2-low, hormone receptor-positive metastatic breast cancer, and has been reported to extend the addressable population further into the </w:t>
      </w:r>
      <w:r>
        <w:rPr>
          <w:b/>
        </w:rPr>
        <w:t>HER2-ultralow</w:t>
      </w:r>
      <w:r>
        <w:t xml:space="preserve"> (IHC 0 with incomplete staining) space — specific efficacy numbers from the primary publication were not retrieved in this run and are therefore not cited here.</w:t>
      </w:r>
    </w:p>
    <w:p>
      <w:r>
        <w:rPr>
          <w:b/>
        </w:rPr>
        <w:t>Regulatory status across geographies:</w:t>
      </w:r>
    </w:p>
    <w:p>
      <w:pPr>
        <w:pStyle w:val="ListBullet"/>
      </w:pPr>
      <w:r>
        <w:rPr>
          <w:b/>
        </w:rPr>
        <w:t>FDA approval</w:t>
      </w:r>
      <w:r>
        <w:t xml:space="preserve"> in HER2-low metastatic breast cancer: granted August 2022 (general knowledge — not tool-verified in this run; no FDA label retrieved).</w:t>
      </w:r>
    </w:p>
    <w:p>
      <w:pPr>
        <w:pStyle w:val="ListBullet"/>
      </w:pPr>
      <w:r>
        <w:rPr>
          <w:b/>
        </w:rPr>
        <w:t>EMA approval</w:t>
      </w:r>
      <w:r>
        <w:t xml:space="preserve"> in HER2-low metastatic breast cancer: granted (general knowledge — not tool-verified in this run).</w:t>
      </w:r>
    </w:p>
    <w:p>
      <w:pPr>
        <w:pStyle w:val="ListBullet"/>
      </w:pPr>
      <w:r>
        <w:rPr>
          <w:b/>
        </w:rPr>
        <w:t>PMDA (Japan) approval</w:t>
      </w:r>
      <w:r>
        <w:t>: granted (general knowledge — not tool-verified in this run).</w:t>
      </w:r>
    </w:p>
    <w:p>
      <w:pPr>
        <w:pStyle w:val="ListBullet"/>
      </w:pPr>
      <w:r>
        <w:t>Specific approval dates and label language were not retrieved via a regulatory database tool in this run and should be confirmed against the FDA/EMA/PMDA product labels.</w:t>
      </w:r>
    </w:p>
    <w:p>
      <w:r>
        <w:rPr>
          <w:b/>
        </w:rPr>
        <w:t>Trastuzumab emtansine (T-DM1; Kadcyla)</w:t>
      </w:r>
      <w:r>
        <w:t xml:space="preserve"> is an approved HER2-directed ADC (ChEMBL: </w:t>
      </w:r>
      <w:hyperlink r:id="rId13">
        <w:r>
          <w:rPr>
            <w:color w:val="0563C1"/>
            <w:u w:val="single"/>
          </w:rPr>
          <w:t>CHEMBL1824 ↗</w:t>
        </w:r>
      </w:hyperlink>
      <w:r>
        <w:t xml:space="preserve"> target; listed as approved in the clinical precedent tool result from the prior run) conjugated to the maytansinoid payload DM1 via a non-cleavable SMCC linker, DAR ~3.5 (general knowledge). Critically, T-DM1 </w:t>
      </w:r>
      <w:r>
        <w:rPr>
          <w:b/>
        </w:rPr>
        <w:t>failed</w:t>
      </w:r>
      <w:r>
        <w:t xml:space="preserve"> to demonstrate benefit in HER2-low breast cancer in the MARIANNE trial and is </w:t>
      </w:r>
      <w:r>
        <w:rPr>
          <w:b/>
        </w:rPr>
        <w:t>not approved</w:t>
      </w:r>
      <w:r>
        <w:t xml:space="preserve"> in the HER2-low indication — its label is restricted to HER2-positive (IHC 3+ or ISH+) disease (general knowledge — not tool-verified in this run). This failure is mechanistically informative: the non-cleavable linker and lower DAR limit bystander killing, which is essential for the heterogeneous, low-antigen-density HER2-low tumor microenvironment. T-DM1 therefore represents a cautionary precedent rather than a competitive threat in HER2-low.</w:t>
      </w:r>
    </w:p>
    <w:p>
      <w:r>
        <w:t>---</w:t>
      </w:r>
    </w:p>
    <w:p>
      <w:pPr>
        <w:pStyle w:val="Heading3"/>
      </w:pPr>
      <w:r>
        <w:t>Phase I–III Challengers by Geography</w:t>
      </w:r>
    </w:p>
    <w:p>
      <w:pPr>
        <w:pStyle w:val="Heading4"/>
      </w:pPr>
      <w:r>
        <w:t>China — Disitamab Vedotin (RC48; Aidixi)</w:t>
      </w:r>
    </w:p>
    <w:p>
      <w:r>
        <w:t xml:space="preserve">Disitamab vedotin (RC48-ADC) is a humanized anti-HER2 antibody conjugated via a cleavable linker to monomethyl auristatin E (MMAE), a microtubule inhibitor, with DAR ~4 (general knowledge). It is </w:t>
      </w:r>
      <w:r>
        <w:rPr>
          <w:b/>
        </w:rPr>
        <w:t>approved in China</w:t>
      </w:r>
      <w:r>
        <w:t xml:space="preserve"> by the NMPA for HER2-positive gastric/gastroesophageal junction cancer (general knowledge — not tool-verified in this run). Multiple clinical trials are ongoing in breast cancer, including HER2-low settings. A search for RC48 in HER2-low breast cancer trials was not executed in this run; specific NCT numbers for RC48 in HER2-low breast cancer were not retrieved and cannot be cited here. RC48's differentiation from T-DXd rests on its MMAE payload (different mechanism of action, potentially non-overlapping resistance), lower DAR reducing systemic toxicity, and its established NMPA regulatory pathway in China — but head-to-head data versus T-DXd in HER2-low breast cancer are not available (general knowledge).</w:t>
      </w:r>
    </w:p>
    <w:p>
      <w:pPr>
        <w:pStyle w:val="Heading4"/>
      </w:pPr>
      <w:r>
        <w:t>Netherlands / Global — Trastuzumab Duocarmazine (SYD985; Trastuzumab Duocarmazine)</w:t>
      </w:r>
    </w:p>
    <w:p>
      <w:r>
        <w:t xml:space="preserve">SYD985 is a HER2-directed ADC with a cleavable linker and a duocarmycin-based DNA-alkylating payload (seco-DUBA), DAR ~2.8 (general knowledge). It was evaluated in the Phase III </w:t>
      </w:r>
      <w:r>
        <w:rPr>
          <w:b/>
        </w:rPr>
        <w:t>TULIP</w:t>
      </w:r>
      <w:r>
        <w:t xml:space="preserve"> trial in HER2-positive metastatic breast cancer (general knowledge). Specific trial results and NCT numbers for SYD985 in HER2-low breast cancer were not retrieved in this run. The duocarmycin payload class is mechanistically distinct from both topoisomerase I inhibitors (T-DXd) and microtubule inhibitors (T-DM1, RC48), offering a differentiation axis. However, regulatory status in HER2-low breast cancer is not established (general knowledge), and no approval has been retrieved.</w:t>
      </w:r>
    </w:p>
    <w:p>
      <w:pPr>
        <w:pStyle w:val="Heading4"/>
      </w:pPr>
      <w:r>
        <w:t>China / Global — ARX788</w:t>
      </w:r>
    </w:p>
    <w:p>
      <w:r>
        <w:t>ARX788 is a site-specific HER2-directed ADC using an unnatural amino acid conjugation technology to achieve a homogeneous DAR ~1.9 with a non-cleavable auristatin-F derivative (AS269) payload (general knowledge). Site-specific conjugation is a differentiation axis versus heterogeneous DAR products. Clinical trials in HER2-positive and potentially HER2-low breast cancer are ongoing in China and globally; specific NCT numbers and phase data for ARX788 in HER2-low breast cancer were not retrieved in this run.</w:t>
      </w:r>
    </w:p>
    <w:p>
      <w:pPr>
        <w:pStyle w:val="Heading4"/>
      </w:pPr>
      <w:r>
        <w:t>China — BAT8001</w:t>
      </w:r>
    </w:p>
    <w:p>
      <w:r>
        <w:t>BAT8001 is a biosimilar-based HER2-directed ADC using a trastuzumab biosimilar conjugated to a maytansinoid payload (Batansine) via a non-cleavable linker, conceptually similar to T-DM1 (general knowledge). Given T-DM1's failure in HER2-low, the non-cleavable linker architecture of BAT8001 is a significant mechanistic liability for this indication. Specific trial data and NCT numbers for BAT8001 in HER2-low breast cancer were not retrieved in this run.</w:t>
      </w:r>
    </w:p>
    <w:p>
      <w:pPr>
        <w:pStyle w:val="Heading4"/>
      </w:pPr>
      <w:r>
        <w:t>Other Investigational Assets (General Knowledge — Not Tool-Verified in This Run)</w:t>
      </w:r>
    </w:p>
    <w:p>
      <w:pPr>
        <w:pStyle w:val="ListBullet"/>
      </w:pPr>
      <w:r>
        <w:rPr>
          <w:b/>
        </w:rPr>
        <w:t>A166 (Klykotuzumab vedotin):</w:t>
      </w:r>
      <w:r>
        <w:t xml:space="preserve"> HER2-directed MMAE ADC with site-specific conjugation; Phase I/II in China.</w:t>
      </w:r>
    </w:p>
    <w:p>
      <w:pPr>
        <w:pStyle w:val="ListBullet"/>
      </w:pPr>
      <w:r>
        <w:rPr>
          <w:b/>
        </w:rPr>
        <w:t>MRG002:</w:t>
      </w:r>
      <w:r>
        <w:t xml:space="preserve"> HER2-directed MMAE ADC; Phase II in China.</w:t>
      </w:r>
    </w:p>
    <w:p>
      <w:pPr>
        <w:pStyle w:val="ListBullet"/>
      </w:pPr>
      <w:r>
        <w:rPr>
          <w:b/>
        </w:rPr>
        <w:t>MEDI4276:</w:t>
      </w:r>
      <w:r>
        <w:t xml:space="preserve"> Biparatopic HER2 ADC (binds domains 2 and 4) with a tubulysin payload; Phase I (AstraZeneca); development status unclear.</w:t>
      </w:r>
    </w:p>
    <w:p>
      <w:pPr>
        <w:pStyle w:val="ListBullet"/>
      </w:pPr>
      <w:r>
        <w:rPr>
          <w:b/>
        </w:rPr>
        <w:t>ZW49:</w:t>
      </w:r>
      <w:r>
        <w:t xml:space="preserve"> Biparatopic HER2 ADC (Zymeworks); Phase I.</w:t>
      </w:r>
    </w:p>
    <w:p>
      <w:pPr>
        <w:pStyle w:val="ListBullet"/>
      </w:pPr>
      <w:r>
        <w:rPr>
          <w:b/>
        </w:rPr>
        <w:t>Trastuzumab deruxtecan combinations</w:t>
      </w:r>
      <w:r>
        <w:t xml:space="preserve"> (e.g., with pembrolizumab, </w:t>
      </w:r>
      <w:hyperlink r:id="rId14">
        <w:r>
          <w:rPr>
            <w:color w:val="0563C1"/>
            <w:u w:val="single"/>
          </w:rPr>
          <w:t>NCT04042701 ↗</w:t>
        </w:r>
      </w:hyperlink>
      <w:r>
        <w:t xml:space="preserve"> — retrieved in prior run): ongoing in HER2-low/metastatic settings.</w:t>
      </w:r>
    </w:p>
    <w:p>
      <w:r>
        <w:t>Specific efficacy, safety, and phase data for these assets in the HER2-low breast cancer indication were not retrieved via tools in this run and cannot be cited with specific figures.</w:t>
      </w:r>
    </w:p>
    <w:p>
      <w:r>
        <w:t>---</w:t>
      </w:r>
    </w:p>
    <w:p>
      <w:pPr>
        <w:pStyle w:val="Heading3"/>
      </w:pPr>
      <w:r>
        <w:t>Differentiation Axes for New Entrants</w:t>
      </w:r>
    </w:p>
    <w:p>
      <w:r>
        <w:t>The approval of T-DXd in HER2-low breast cancer creates a high bar. The following differentiation axes are relevant for any new ADC program:</w:t>
      </w:r>
    </w:p>
    <w:tbl>
      <w:tblPr>
        <w:tblStyle w:val="TableGrid"/>
        <w:tblW w:type="auto" w:w="0"/>
        <w:tblLook w:firstColumn="1" w:firstRow="1" w:lastColumn="0" w:lastRow="0" w:noHBand="0" w:noVBand="1" w:val="04A0"/>
      </w:tblPr>
      <w:tblGrid>
        <w:gridCol w:w="2880"/>
        <w:gridCol w:w="2880"/>
        <w:gridCol w:w="2880"/>
      </w:tblGrid>
      <w:tr>
        <w:tc>
          <w:tcPr>
            <w:tcW w:type="dxa" w:w="2880"/>
            <w:shd w:val="clear" w:fill="0F172A"/>
          </w:tcPr>
          <w:p>
            <w:r>
              <w:rPr>
                <w:b/>
                <w:color w:val="FFFFFF"/>
                <w:sz w:val="19"/>
              </w:rPr>
              <w:t>Axis</w:t>
            </w:r>
          </w:p>
        </w:tc>
        <w:tc>
          <w:tcPr>
            <w:tcW w:type="dxa" w:w="2880"/>
            <w:shd w:val="clear" w:fill="0F172A"/>
          </w:tcPr>
          <w:p>
            <w:r>
              <w:rPr>
                <w:b/>
                <w:color w:val="FFFFFF"/>
                <w:sz w:val="19"/>
              </w:rPr>
              <w:t>T-DXd Profile</w:t>
            </w:r>
          </w:p>
        </w:tc>
        <w:tc>
          <w:tcPr>
            <w:tcW w:type="dxa" w:w="2880"/>
            <w:shd w:val="clear" w:fill="0F172A"/>
          </w:tcPr>
          <w:p>
            <w:r>
              <w:rPr>
                <w:b/>
                <w:color w:val="FFFFFF"/>
                <w:sz w:val="19"/>
              </w:rPr>
              <w:t>Opportunity for Challenger</w:t>
            </w:r>
          </w:p>
        </w:tc>
      </w:tr>
      <w:tr>
        <w:tc>
          <w:tcPr>
            <w:tcW w:type="dxa" w:w="2880"/>
          </w:tcPr>
          <w:p>
            <w:r>
              <w:rPr>
                <w:b/>
                <w:sz w:val="20"/>
              </w:rPr>
              <w:t>Payload class</w:t>
            </w:r>
          </w:p>
        </w:tc>
        <w:tc>
          <w:tcPr>
            <w:tcW w:type="dxa" w:w="2880"/>
          </w:tcPr>
          <w:p>
            <w:r>
              <w:rPr>
                <w:sz w:val="20"/>
              </w:rPr>
              <w:t>Topoisomerase I inhibitor (DXd)</w:t>
            </w:r>
          </w:p>
        </w:tc>
        <w:tc>
          <w:tcPr>
            <w:tcW w:type="dxa" w:w="2880"/>
          </w:tcPr>
          <w:p>
            <w:r>
              <w:rPr>
                <w:sz w:val="20"/>
              </w:rPr>
              <w:t>MMAE (RC48), duocarmycin (SYD985), maytansinoid (BAT8001/T-DM1) — mechanistic non-overlap; resistance bypass</w:t>
            </w:r>
          </w:p>
        </w:tc>
      </w:tr>
      <w:tr>
        <w:tc>
          <w:tcPr>
            <w:tcW w:type="dxa" w:w="2880"/>
            <w:shd w:val="clear" w:fill="F1F5F9"/>
          </w:tcPr>
          <w:p>
            <w:r>
              <w:rPr>
                <w:b/>
                <w:sz w:val="20"/>
              </w:rPr>
              <w:t>DAR</w:t>
            </w:r>
          </w:p>
        </w:tc>
        <w:tc>
          <w:tcPr>
            <w:tcW w:type="dxa" w:w="2880"/>
            <w:shd w:val="clear" w:fill="F1F5F9"/>
          </w:tcPr>
          <w:p>
            <w:r>
              <w:rPr>
                <w:sz w:val="20"/>
              </w:rPr>
              <w:t>~8 (high, enables bystander killing)</w:t>
            </w:r>
          </w:p>
        </w:tc>
        <w:tc>
          <w:tcPr>
            <w:tcW w:type="dxa" w:w="2880"/>
            <w:shd w:val="clear" w:fill="F1F5F9"/>
          </w:tcPr>
          <w:p>
            <w:r>
              <w:rPr>
                <w:sz w:val="20"/>
              </w:rPr>
              <w:t>Lower DAR (ARX788 ~1.9) may reduce systemic toxicity; higher DAR may improve potency in ultralow antigen</w:t>
            </w:r>
          </w:p>
        </w:tc>
      </w:tr>
      <w:tr>
        <w:tc>
          <w:tcPr>
            <w:tcW w:type="dxa" w:w="2880"/>
          </w:tcPr>
          <w:p>
            <w:r>
              <w:rPr>
                <w:b/>
                <w:sz w:val="20"/>
              </w:rPr>
              <w:t>ILD/pulmonary toxicity</w:t>
            </w:r>
          </w:p>
        </w:tc>
        <w:tc>
          <w:tcPr>
            <w:tcW w:type="dxa" w:w="2880"/>
          </w:tcPr>
          <w:p>
            <w:r>
              <w:rPr>
                <w:sz w:val="20"/>
              </w:rPr>
              <w:t>Clinically significant ILD rate (general knowledge — specific % not retrieved in this run)</w:t>
            </w:r>
          </w:p>
        </w:tc>
        <w:tc>
          <w:tcPr>
            <w:tcW w:type="dxa" w:w="2880"/>
          </w:tcPr>
          <w:p>
            <w:r>
              <w:rPr>
                <w:sz w:val="20"/>
              </w:rPr>
              <w:t>Lower ILD rate is a key safety differentiation target; payload and linker chemistry are determinants</w:t>
            </w:r>
          </w:p>
        </w:tc>
      </w:tr>
      <w:tr>
        <w:tc>
          <w:tcPr>
            <w:tcW w:type="dxa" w:w="2880"/>
            <w:shd w:val="clear" w:fill="F1F5F9"/>
          </w:tcPr>
          <w:p>
            <w:r>
              <w:rPr>
                <w:b/>
                <w:sz w:val="20"/>
              </w:rPr>
              <w:t>CNS activity</w:t>
            </w:r>
          </w:p>
        </w:tc>
        <w:tc>
          <w:tcPr>
            <w:tcW w:type="dxa" w:w="2880"/>
            <w:shd w:val="clear" w:fill="F1F5F9"/>
          </w:tcPr>
          <w:p>
            <w:r>
              <w:rPr>
                <w:sz w:val="20"/>
              </w:rPr>
              <w:t>Demonstrated CNS penetration/activity in HER2+ brain mets (general knowledge)</w:t>
            </w:r>
          </w:p>
        </w:tc>
        <w:tc>
          <w:tcPr>
            <w:tcW w:type="dxa" w:w="2880"/>
            <w:shd w:val="clear" w:fill="F1F5F9"/>
          </w:tcPr>
          <w:p>
            <w:r>
              <w:rPr>
                <w:sz w:val="20"/>
              </w:rPr>
              <w:t>CNS-penetrant challengers needed; brain metastases are common in HER2-low breast cancer</w:t>
            </w:r>
          </w:p>
        </w:tc>
      </w:tr>
      <w:tr>
        <w:tc>
          <w:tcPr>
            <w:tcW w:type="dxa" w:w="2880"/>
          </w:tcPr>
          <w:p>
            <w:r>
              <w:rPr>
                <w:b/>
                <w:sz w:val="20"/>
              </w:rPr>
              <w:t>HER2-ultralow extension</w:t>
            </w:r>
          </w:p>
        </w:tc>
        <w:tc>
          <w:tcPr>
            <w:tcW w:type="dxa" w:w="2880"/>
          </w:tcPr>
          <w:p>
            <w:r>
              <w:rPr>
                <w:sz w:val="20"/>
              </w:rPr>
              <w:t>DESTINY-Breast06 (</w:t>
            </w:r>
            <w:hyperlink r:id="rId12">
              <w:r>
                <w:rPr>
                  <w:color w:val="0563C1"/>
                  <w:u w:val="single"/>
                </w:rPr>
                <w:t>NCT04494425 ↗</w:t>
              </w:r>
            </w:hyperlink>
            <w:r>
              <w:rPr>
                <w:sz w:val="20"/>
              </w:rPr>
              <w:t>) exploring IHC 0 with incomplete staining</w:t>
            </w:r>
          </w:p>
        </w:tc>
        <w:tc>
          <w:tcPr>
            <w:tcW w:type="dxa" w:w="2880"/>
          </w:tcPr>
          <w:p>
            <w:r>
              <w:rPr>
                <w:sz w:val="20"/>
              </w:rPr>
              <w:t>First mover advantage; challengers need to demonstrate activity at even lower antigen density</w:t>
            </w:r>
          </w:p>
        </w:tc>
      </w:tr>
      <w:tr>
        <w:tc>
          <w:tcPr>
            <w:tcW w:type="dxa" w:w="2880"/>
            <w:shd w:val="clear" w:fill="F1F5F9"/>
          </w:tcPr>
          <w:p>
            <w:r>
              <w:rPr>
                <w:b/>
                <w:sz w:val="20"/>
              </w:rPr>
              <w:t>Linker cleavability</w:t>
            </w:r>
          </w:p>
        </w:tc>
        <w:tc>
          <w:tcPr>
            <w:tcW w:type="dxa" w:w="2880"/>
            <w:shd w:val="clear" w:fill="F1F5F9"/>
          </w:tcPr>
          <w:p>
            <w:r>
              <w:rPr>
                <w:sz w:val="20"/>
              </w:rPr>
              <w:t>Cleavable (enables bystander effect)</w:t>
            </w:r>
          </w:p>
        </w:tc>
        <w:tc>
          <w:tcPr>
            <w:tcW w:type="dxa" w:w="2880"/>
            <w:shd w:val="clear" w:fill="F1F5F9"/>
          </w:tcPr>
          <w:p>
            <w:r>
              <w:rPr>
                <w:sz w:val="20"/>
              </w:rPr>
              <w:t>Non-cleavable linkers (T-DM1, BAT8001) are disadvantaged in HER2-low; cleavable linkers are table stakes</w:t>
            </w:r>
          </w:p>
        </w:tc>
      </w:tr>
      <w:tr>
        <w:tc>
          <w:tcPr>
            <w:tcW w:type="dxa" w:w="2880"/>
          </w:tcPr>
          <w:p>
            <w:r>
              <w:rPr>
                <w:b/>
                <w:sz w:val="20"/>
              </w:rPr>
              <w:t>Site-specificity / homogeneity</w:t>
            </w:r>
          </w:p>
        </w:tc>
        <w:tc>
          <w:tcPr>
            <w:tcW w:type="dxa" w:w="2880"/>
          </w:tcPr>
          <w:p>
            <w:r>
              <w:rPr>
                <w:sz w:val="20"/>
              </w:rPr>
              <w:t>Heterogeneous DAR</w:t>
            </w:r>
          </w:p>
        </w:tc>
        <w:tc>
          <w:tcPr>
            <w:tcW w:type="dxa" w:w="2880"/>
          </w:tcPr>
          <w:p>
            <w:r>
              <w:rPr>
                <w:sz w:val="20"/>
              </w:rPr>
              <w:t>Site-specific conjugation (ARX788) may improve therapeutic index and PK</w:t>
            </w:r>
          </w:p>
        </w:tc>
      </w:tr>
      <w:tr>
        <w:tc>
          <w:tcPr>
            <w:tcW w:type="dxa" w:w="2880"/>
            <w:shd w:val="clear" w:fill="F1F5F9"/>
          </w:tcPr>
          <w:p>
            <w:r>
              <w:rPr>
                <w:b/>
                <w:sz w:val="20"/>
              </w:rPr>
              <w:t>Geography / regulatory</w:t>
            </w:r>
          </w:p>
        </w:tc>
        <w:tc>
          <w:tcPr>
            <w:tcW w:type="dxa" w:w="2880"/>
            <w:shd w:val="clear" w:fill="F1F5F9"/>
          </w:tcPr>
          <w:p>
            <w:r>
              <w:rPr>
                <w:sz w:val="20"/>
              </w:rPr>
              <w:t>FDA/EMA/PMDA approved</w:t>
            </w:r>
          </w:p>
        </w:tc>
        <w:tc>
          <w:tcPr>
            <w:tcW w:type="dxa" w:w="2880"/>
            <w:shd w:val="clear" w:fill="F1F5F9"/>
          </w:tcPr>
          <w:p>
            <w:r>
              <w:rPr>
                <w:sz w:val="20"/>
              </w:rPr>
              <w:t>NMPA-approved RC48 has China-first advantage; global programs need ex-China differentiation</w:t>
            </w:r>
          </w:p>
        </w:tc>
      </w:tr>
    </w:tbl>
    <w:p>
      <w:r>
        <w:t>---</w:t>
      </w:r>
    </w:p>
    <w:p>
      <w:pPr>
        <w:pStyle w:val="Heading3"/>
      </w:pPr>
      <w:r>
        <w:t>Freedom-to-Operate (FTO) Landscape</w:t>
      </w:r>
    </w:p>
    <w:p>
      <w:r>
        <w:t>A patent search was not executed in this run; the following is based on general knowledge and should be confirmed by a qualified patent attorney with full claims analysis.</w:t>
      </w:r>
    </w:p>
    <w:p>
      <w:r>
        <w:t>Key patent families relevant to FTO in HER2 ADCs include:</w:t>
      </w:r>
    </w:p>
    <w:p>
      <w:pPr>
        <w:pStyle w:val="ListBullet"/>
      </w:pPr>
      <w:r>
        <w:rPr>
          <w:b/>
        </w:rPr>
        <w:t>Genentech/Roche:</w:t>
      </w:r>
      <w:r>
        <w:t xml:space="preserve"> Foundational trastuzumab antibody patents (largely expired or expiring); T-DM1 linker-payload patents.</w:t>
      </w:r>
    </w:p>
    <w:p>
      <w:pPr>
        <w:pStyle w:val="ListBullet"/>
      </w:pPr>
      <w:r>
        <w:rPr>
          <w:b/>
        </w:rPr>
        <w:t>Daiichi Sankyo / AstraZeneca:</w:t>
      </w:r>
      <w:r>
        <w:t xml:space="preserve"> T-DXd composition-of-matter, linker chemistry, and method-of-use patents in HER2-low breast cancer — these represent the most significant FTO barrier for any new HER2-directed ADC with a topoisomerase I inhibitor payload or similar cleavable tetrapeptide linker. The HER2-low indication itself may be covered by method-of-use claims.</w:t>
      </w:r>
    </w:p>
    <w:p>
      <w:pPr>
        <w:pStyle w:val="ListBullet"/>
      </w:pPr>
      <w:r>
        <w:rPr>
          <w:b/>
        </w:rPr>
        <w:t>Byondis (SYD985):</w:t>
      </w:r>
      <w:r>
        <w:t xml:space="preserve"> Duocarmycin-linker patents.</w:t>
      </w:r>
    </w:p>
    <w:p>
      <w:pPr>
        <w:pStyle w:val="ListBullet"/>
      </w:pPr>
      <w:r>
        <w:rPr>
          <w:b/>
        </w:rPr>
        <w:t>Zymeworks (ZW49):</w:t>
      </w:r>
      <w:r>
        <w:t xml:space="preserve"> Biparatopic antibody format patents.</w:t>
      </w:r>
    </w:p>
    <w:p>
      <w:pPr>
        <w:pStyle w:val="ListBullet"/>
      </w:pPr>
      <w:r>
        <w:rPr>
          <w:b/>
        </w:rPr>
        <w:t>Remegen (RC48):</w:t>
      </w:r>
      <w:r>
        <w:t xml:space="preserve"> China-domiciled patents for disitamab vedotin.</w:t>
      </w:r>
    </w:p>
    <w:p>
      <w:r>
        <w:rPr>
          <w:b/>
        </w:rPr>
        <w:t>FTO risk is HIGH</w:t>
      </w:r>
      <w:r>
        <w:t xml:space="preserve"> for any new HER2 ADC using a topoisomerase I inhibitor payload with a cleavable linker in the HER2-low indication, given Daiichi Sankyo/AstraZeneca's broad patent estate around T-DXd. Challengers using mechanistically distinct payloads (MMAE, duocarmycin, maytansinoid, tubulysin) face lower but non-zero FTO risk depending on linker and antibody claims. A full FTO opinion requires legal claims analysis not substitutable by this tool-based assessment.</w:t>
      </w:r>
    </w:p>
    <w:p>
      <w:r>
        <w:t>---</w:t>
      </w:r>
    </w:p>
    <w:p>
      <w:pPr>
        <w:pStyle w:val="Heading3"/>
      </w:pPr>
      <w:r>
        <w:t>Competitive Summary</w:t>
      </w:r>
    </w:p>
    <w:p>
      <w:r>
        <w:t>The clinical pipeline for HER2-low breast cancer ADCs is dominated by T-DXd (Enhertu), which holds first-mover regulatory advantage across FDA, EMA, and PMDA, and is actively extending its label into HER2-ultralow (</w:t>
      </w:r>
      <w:hyperlink r:id="rId12">
        <w:r>
          <w:rPr>
            <w:color w:val="0563C1"/>
            <w:u w:val="single"/>
          </w:rPr>
          <w:t>NCT04494425 ↗</w:t>
        </w:r>
      </w:hyperlink>
      <w:r>
        <w:t>). The competitive field is crowded in HER2-positive disease but remains relatively open in the HER2-low indication outside of T-DXd. The most credible challengers are RC48 (China, MMAE, NMPA pathway) and SYD985 (duocarmycin, global). Any new ADC program targeting HER2-low must articulate a clear differentiation hypothesis — most plausibly: a lower ILD rate, superior CNS activity, a mechanistically distinct payload enabling resistance bypass, or activity in the HER2-ultralow/IHC-0 population that T-DXd's DESTINY-Breast06 data may not fully capture. Without one of these axes, a new program faces a me-too risk against an entrenched, approved, and expanding standard of care.</w:t>
      </w:r>
    </w:p>
    <w:p>
      <w:r>
        <w:rPr>
          <w:b/>
        </w:rPr>
        <w:t>Sources retrieved this run:</w:t>
      </w:r>
      <w:r>
        <w:t xml:space="preserve"> </w:t>
      </w:r>
      <w:hyperlink r:id="rId12">
        <w:r>
          <w:rPr>
            <w:color w:val="0563C1"/>
            <w:u w:val="single"/>
          </w:rPr>
          <w:t>NCT04494425 ↗</w:t>
        </w:r>
      </w:hyperlink>
      <w:r>
        <w:t xml:space="preserve"> (DESTINY-Breast06 / T-DXd vs chemotherapy in HER2-low HR+ mBC, Phase III, ACTIVE_NOT_RECRUITING); ChEMBL target </w:t>
      </w:r>
      <w:hyperlink r:id="rId13">
        <w:r>
          <w:rPr>
            <w:color w:val="0563C1"/>
            <w:u w:val="single"/>
          </w:rPr>
          <w:t>CHEMBL1824 ↗</w:t>
        </w:r>
      </w:hyperlink>
      <w:r>
        <w:t xml:space="preserve"> (HER2, 14 approved drugs including trastuzumab emtansine and trastuzumab, from prior run clinical_precedent tool). All other specific figures, approval dates, efficacy numbers, and trial NCT identifiers in this section are general knowledge and explicitly tagged as such; they require tool-based verification before use in a regulatory or investment document.</w:t>
      </w:r>
    </w:p>
    <w:p>
      <w:pPr>
        <w:pStyle w:val="Heading2"/>
      </w:pPr>
      <w:r>
        <w:t>Biomarkers, Companion Diagnostics, and Addressable Population</w:t>
      </w:r>
    </w:p>
    <w:p>
      <w:r>
        <w:t>---</w:t>
      </w:r>
    </w:p>
    <w:p>
      <w:pPr>
        <w:pStyle w:val="Heading3"/>
      </w:pPr>
      <w:r>
        <w:t>1. Defining HER2-Low: The IHC Scoring Continuum</w:t>
      </w:r>
    </w:p>
    <w:p>
      <w:r>
        <w:t xml:space="preserve">HER2 status in breast cancer has historically been classified as a binary: HER2-positive (IHC 3+ or IHC 2+/ISH-amplified) versus HER2-negative (IHC 0, 1+, or 2+/ISH-non-amplified). The emergence of trastuzumab deruxtecan (T-DXd) as an effective ADC at low HER2 expression levels has forced a fundamental reconceptualization of this binary into a continuous spectrum, giving rise to the clinically actionable </w:t>
      </w:r>
      <w:r>
        <w:rPr>
          <w:b/>
        </w:rPr>
        <w:t>HER2-low</w:t>
      </w:r>
      <w:r>
        <w:t xml:space="preserve"> category.</w:t>
      </w:r>
    </w:p>
    <w:p>
      <w:r>
        <w:rPr>
          <w:b/>
        </w:rPr>
        <w:t>HER2-low</w:t>
      </w:r>
      <w:r>
        <w:t xml:space="preserve"> is operationally defined as:</w:t>
      </w:r>
    </w:p>
    <w:p>
      <w:pPr>
        <w:pStyle w:val="ListBullet"/>
      </w:pPr>
      <w:r>
        <w:rPr>
          <w:b/>
        </w:rPr>
        <w:t>IHC 1+</w:t>
      </w:r>
      <w:r>
        <w:t>: Faint/barely perceptible incomplete membrane staining in &gt;10% of tumor cells, OR</w:t>
      </w:r>
    </w:p>
    <w:p>
      <w:pPr>
        <w:pStyle w:val="ListBullet"/>
      </w:pPr>
      <w:r>
        <w:rPr>
          <w:b/>
        </w:rPr>
        <w:t>IHC 2+ / ISH non-amplified</w:t>
      </w:r>
      <w:r>
        <w:t>: Weak to moderate complete membrane staining in &gt;10% of tumor cells, with no HER2 gene amplification confirmed by in situ hybridization (ISH)</w:t>
      </w:r>
    </w:p>
    <w:p>
      <w:r>
        <w:t>This definition is not a new biological entity but a reclassification of what was previously called "HER2-negative" — specifically, the IHC 1+ and IHC 2+/ISH-non-amplified subgroups that were previously considered therapeutically inert with respect to HER2-directed therapy.</w:t>
      </w:r>
    </w:p>
    <w:p>
      <w:r>
        <w:t xml:space="preserve">The IHC scoring system in routine clinical use follows the </w:t>
      </w:r>
      <w:r>
        <w:rPr>
          <w:b/>
        </w:rPr>
        <w:t>ASCO/CAP 2018 guidelines</w:t>
      </w:r>
      <w:r>
        <w:t>, which define four categories:</w:t>
      </w:r>
    </w:p>
    <w:tbl>
      <w:tblPr>
        <w:tblStyle w:val="TableGrid"/>
        <w:tblW w:type="auto" w:w="0"/>
        <w:tblLook w:firstColumn="1" w:firstRow="1" w:lastColumn="0" w:lastRow="0" w:noHBand="0" w:noVBand="1" w:val="04A0"/>
      </w:tblPr>
      <w:tblGrid>
        <w:gridCol w:w="2880"/>
        <w:gridCol w:w="2880"/>
        <w:gridCol w:w="2880"/>
      </w:tblGrid>
      <w:tr>
        <w:tc>
          <w:tcPr>
            <w:tcW w:type="dxa" w:w="2880"/>
            <w:shd w:val="clear" w:fill="0F172A"/>
          </w:tcPr>
          <w:p>
            <w:r>
              <w:rPr>
                <w:b/>
                <w:color w:val="FFFFFF"/>
                <w:sz w:val="19"/>
              </w:rPr>
              <w:t>IHC Score</w:t>
            </w:r>
          </w:p>
        </w:tc>
        <w:tc>
          <w:tcPr>
            <w:tcW w:type="dxa" w:w="2880"/>
            <w:shd w:val="clear" w:fill="0F172A"/>
          </w:tcPr>
          <w:p>
            <w:r>
              <w:rPr>
                <w:b/>
                <w:color w:val="FFFFFF"/>
                <w:sz w:val="19"/>
              </w:rPr>
              <w:t>Staining Description</w:t>
            </w:r>
          </w:p>
        </w:tc>
        <w:tc>
          <w:tcPr>
            <w:tcW w:type="dxa" w:w="2880"/>
            <w:shd w:val="clear" w:fill="0F172A"/>
          </w:tcPr>
          <w:p>
            <w:r>
              <w:rPr>
                <w:b/>
                <w:color w:val="FFFFFF"/>
                <w:sz w:val="19"/>
              </w:rPr>
              <w:t>HER2 Status</w:t>
            </w:r>
          </w:p>
        </w:tc>
      </w:tr>
      <w:tr>
        <w:tc>
          <w:tcPr>
            <w:tcW w:type="dxa" w:w="2880"/>
          </w:tcPr>
          <w:p>
            <w:r>
              <w:rPr>
                <w:sz w:val="20"/>
              </w:rPr>
              <w:t>0</w:t>
            </w:r>
          </w:p>
        </w:tc>
        <w:tc>
          <w:tcPr>
            <w:tcW w:type="dxa" w:w="2880"/>
          </w:tcPr>
          <w:p>
            <w:r>
              <w:rPr>
                <w:sz w:val="20"/>
              </w:rPr>
              <w:t>No staining OR incomplete faint staining in ≤10% of cells</w:t>
            </w:r>
          </w:p>
        </w:tc>
        <w:tc>
          <w:tcPr>
            <w:tcW w:type="dxa" w:w="2880"/>
          </w:tcPr>
          <w:p>
            <w:r>
              <w:rPr>
                <w:sz w:val="20"/>
              </w:rPr>
              <w:t>Negative (not low)</w:t>
            </w:r>
          </w:p>
        </w:tc>
      </w:tr>
      <w:tr>
        <w:tc>
          <w:tcPr>
            <w:tcW w:type="dxa" w:w="2880"/>
            <w:shd w:val="clear" w:fill="F1F5F9"/>
          </w:tcPr>
          <w:p>
            <w:r>
              <w:rPr>
                <w:sz w:val="20"/>
              </w:rPr>
              <w:t>1+</w:t>
            </w:r>
          </w:p>
        </w:tc>
        <w:tc>
          <w:tcPr>
            <w:tcW w:type="dxa" w:w="2880"/>
            <w:shd w:val="clear" w:fill="F1F5F9"/>
          </w:tcPr>
          <w:p>
            <w:r>
              <w:rPr>
                <w:sz w:val="20"/>
              </w:rPr>
              <w:t>Incomplete faint/barely perceptible membrane staining in &gt;10% of cells</w:t>
            </w:r>
          </w:p>
        </w:tc>
        <w:tc>
          <w:tcPr>
            <w:tcW w:type="dxa" w:w="2880"/>
            <w:shd w:val="clear" w:fill="F1F5F9"/>
          </w:tcPr>
          <w:p>
            <w:r>
              <w:rPr>
                <w:b/>
                <w:sz w:val="20"/>
              </w:rPr>
              <w:t>HER2-low</w:t>
            </w:r>
          </w:p>
        </w:tc>
      </w:tr>
      <w:tr>
        <w:tc>
          <w:tcPr>
            <w:tcW w:type="dxa" w:w="2880"/>
          </w:tcPr>
          <w:p>
            <w:r>
              <w:rPr>
                <w:sz w:val="20"/>
              </w:rPr>
              <w:t>2+</w:t>
            </w:r>
          </w:p>
        </w:tc>
        <w:tc>
          <w:tcPr>
            <w:tcW w:type="dxa" w:w="2880"/>
          </w:tcPr>
          <w:p>
            <w:r>
              <w:rPr>
                <w:sz w:val="20"/>
              </w:rPr>
              <w:t>Weak-to-moderate complete membrane staining in &gt;10% of cells</w:t>
            </w:r>
          </w:p>
        </w:tc>
        <w:tc>
          <w:tcPr>
            <w:tcW w:type="dxa" w:w="2880"/>
          </w:tcPr>
          <w:p>
            <w:r>
              <w:rPr>
                <w:b/>
                <w:sz w:val="20"/>
              </w:rPr>
              <w:t>HER2-low</w:t>
            </w:r>
            <w:r>
              <w:rPr>
                <w:sz w:val="20"/>
              </w:rPr>
              <w:t xml:space="preserve"> (if ISH non-amplified)</w:t>
            </w:r>
          </w:p>
        </w:tc>
      </w:tr>
      <w:tr>
        <w:tc>
          <w:tcPr>
            <w:tcW w:type="dxa" w:w="2880"/>
            <w:shd w:val="clear" w:fill="F1F5F9"/>
          </w:tcPr>
          <w:p>
            <w:r>
              <w:rPr>
                <w:sz w:val="20"/>
              </w:rPr>
              <w:t>3+</w:t>
            </w:r>
          </w:p>
        </w:tc>
        <w:tc>
          <w:tcPr>
            <w:tcW w:type="dxa" w:w="2880"/>
            <w:shd w:val="clear" w:fill="F1F5F9"/>
          </w:tcPr>
          <w:p>
            <w:r>
              <w:rPr>
                <w:sz w:val="20"/>
              </w:rPr>
              <w:t>Strong complete membrane staining in &gt;10% of cells</w:t>
            </w:r>
          </w:p>
        </w:tc>
        <w:tc>
          <w:tcPr>
            <w:tcW w:type="dxa" w:w="2880"/>
            <w:shd w:val="clear" w:fill="F1F5F9"/>
          </w:tcPr>
          <w:p>
            <w:r>
              <w:rPr>
                <w:sz w:val="20"/>
              </w:rPr>
              <w:t>HER2-positive</w:t>
            </w:r>
          </w:p>
        </w:tc>
      </w:tr>
    </w:tbl>
    <w:p>
      <w:r>
        <w:t>The critical diagnostic challenge is that the boundary between IHC 0 and IHC 1+ — the distinction between "not low" and "low" — is now therapeutically consequential in a way it never was before T-DXd approval. This boundary is defined by extremely subtle differences in membrane staining intensity and completeness that are inherently subjective under standard light microscopy.</w:t>
      </w:r>
    </w:p>
    <w:p>
      <w:r>
        <w:t>---</w:t>
      </w:r>
    </w:p>
    <w:p>
      <w:pPr>
        <w:pStyle w:val="Heading3"/>
      </w:pPr>
      <w:r>
        <w:t>2. The Diagnostic Reproducibility Problem</w:t>
      </w:r>
    </w:p>
    <w:p>
      <w:r>
        <w:t>The reproducibility of HER2 IHC scoring at the low end of the spectrum is a recognized and serious challenge. The problem is most acute at the IHC 0 vs. IHC 1+ boundary, where the clinical stakes are now highest.</w:t>
      </w:r>
    </w:p>
    <w:p>
      <w:r>
        <w:t>A 2025 study published in the *Journal of Pathology Informatics* (</w:t>
      </w:r>
      <w:hyperlink r:id="rId15">
        <w:r>
          <w:rPr>
            <w:color w:val="0563C1"/>
            <w:u w:val="single"/>
          </w:rPr>
          <w:t>PMID:41446275 ↗</w:t>
        </w:r>
      </w:hyperlink>
      <w:r>
        <w:t xml:space="preserve">) directly addressed this challenge using deep learning on the </w:t>
      </w:r>
      <w:r>
        <w:rPr>
          <w:b/>
        </w:rPr>
        <w:t>India Pathology Breast Cancer Dataset</w:t>
      </w:r>
      <w:r>
        <w:t xml:space="preserve"> (500 patients, HER2 IHC slides). The study framed interobserver variability in HER2-low identification as a "key challenge" and developed a 3-way classification model (HER2-0 / HER2-low / HER2-high). The best-performing model — an end-to-end </w:t>
      </w:r>
      <w:r>
        <w:rPr>
          <w:b/>
        </w:rPr>
        <w:t>ConvNeXt</w:t>
      </w:r>
      <w:r>
        <w:t xml:space="preserve"> architecture operating on low-resolution whole-slide images — achieved an overall F1 score of </w:t>
      </w:r>
      <w:r>
        <w:rPr>
          <w:b/>
        </w:rPr>
        <w:t>83.52%</w:t>
      </w:r>
      <w:r>
        <w:t xml:space="preserve"> (a +5.35% improvement over patch-based approaches) (</w:t>
      </w:r>
      <w:hyperlink r:id="rId15">
        <w:r>
          <w:rPr>
            <w:color w:val="0563C1"/>
            <w:u w:val="single"/>
          </w:rPr>
          <w:t>PMID:41446275 ↗</w:t>
        </w:r>
      </w:hyperlink>
      <w:r>
        <w:t xml:space="preserve">). Category-specific F1 scores were: HER2-0: </w:t>
      </w:r>
      <w:r>
        <w:rPr>
          <w:b/>
        </w:rPr>
        <w:t>75.6%</w:t>
      </w:r>
      <w:r>
        <w:t xml:space="preserve">; HER2-low: </w:t>
      </w:r>
      <w:r>
        <w:rPr>
          <w:b/>
        </w:rPr>
        <w:t>82.4%</w:t>
      </w:r>
      <w:r>
        <w:t xml:space="preserve">; HER2-high: </w:t>
      </w:r>
      <w:r>
        <w:rPr>
          <w:b/>
        </w:rPr>
        <w:t>91.5%</w:t>
      </w:r>
      <w:r>
        <w:t xml:space="preserve"> (</w:t>
      </w:r>
      <w:hyperlink r:id="rId15">
        <w:r>
          <w:rPr>
            <w:color w:val="0563C1"/>
            <w:u w:val="single"/>
          </w:rPr>
          <w:t>PMID:41446275 ↗</w:t>
        </w:r>
      </w:hyperlink>
      <w:r>
        <w:t>). The substantially lower F1 for HER2-0 compared to HER2-high reflects the fundamental difficulty of distinguishing absent staining from faint staining — precisely the clinically critical boundary.</w:t>
      </w:r>
    </w:p>
    <w:p>
      <w:r>
        <w:t>A 2026 review in *Current Oncology* (</w:t>
      </w:r>
      <w:hyperlink r:id="rId16">
        <w:r>
          <w:rPr>
            <w:color w:val="0563C1"/>
            <w:u w:val="single"/>
          </w:rPr>
          <w:t>PMID:42041700 ↗</w:t>
        </w:r>
      </w:hyperlink>
      <w:r>
        <w:t xml:space="preserve">) articulated the regulatory and analytical dimensions of this problem. The FDA's September 2022 expanded approval of the legacy </w:t>
      </w:r>
      <w:r>
        <w:rPr>
          <w:b/>
        </w:rPr>
        <w:t>Roche 4B5-based IHC assay</w:t>
      </w:r>
      <w:r>
        <w:t xml:space="preserve"> (VENTANA PATHWAY anti-HER2/neu, clone 4B5) as the companion diagnostic for T-DXd in HER2-low breast cancer was based on the DESTINY-Breast04 and DESTINY-Breast06 trial data, but the review identified critical analytical gaps (</w:t>
      </w:r>
      <w:hyperlink r:id="rId16">
        <w:r>
          <w:rPr>
            <w:color w:val="0563C1"/>
            <w:u w:val="single"/>
          </w:rPr>
          <w:t>PMID:42041700 ↗</w:t>
        </w:r>
      </w:hyperlink>
      <w:r>
        <w:t>):</w:t>
      </w:r>
    </w:p>
    <w:p>
      <w:pPr>
        <w:pStyle w:val="ListNumber"/>
      </w:pPr>
      <w:r>
        <w:rPr>
          <w:b/>
        </w:rPr>
        <w:t>Purpose mismatch</w:t>
      </w:r>
      <w:r>
        <w:t xml:space="preserve">: The 4B5 assay was originally developed and validated to detect HER2 </w:t>
      </w:r>
      <w:r>
        <w:rPr>
          <w:b/>
        </w:rPr>
        <w:t>overexpression</w:t>
      </w:r>
      <w:r>
        <w:t xml:space="preserve"> (IHC 3+) and gene amplification — a fundamentally different biological signal from the low-level expression it is now being asked to detect and quantify.</w:t>
      </w:r>
    </w:p>
    <w:p>
      <w:pPr>
        <w:pStyle w:val="ListNumber"/>
      </w:pPr>
      <w:r>
        <w:rPr>
          <w:b/>
        </w:rPr>
        <w:t>Lack of established analytical sensitivity/specificity</w:t>
      </w:r>
      <w:r>
        <w:t xml:space="preserve"> for the IHC 1+ category specifically — the assay was never analytically validated for this use case.</w:t>
      </w:r>
    </w:p>
    <w:p>
      <w:pPr>
        <w:pStyle w:val="ListNumber"/>
      </w:pPr>
      <w:r>
        <w:rPr>
          <w:b/>
        </w:rPr>
        <w:t>Poor reproducibility of pathologist scoring</w:t>
      </w:r>
      <w:r>
        <w:t xml:space="preserve"> at low HER2 expression levels — the review explicitly identifies this as an unresolved problem.</w:t>
      </w:r>
    </w:p>
    <w:p>
      <w:pPr>
        <w:pStyle w:val="ListNumber"/>
      </w:pPr>
      <w:r>
        <w:rPr>
          <w:b/>
        </w:rPr>
        <w:t>Incomplete clinical validation</w:t>
      </w:r>
      <w:r>
        <w:t xml:space="preserve"> for distinguishing HER2-low from HER2-ultralow from truly HER2-negative — the biological and clinical boundaries between these categories remain incompletely characterized (</w:t>
      </w:r>
      <w:hyperlink r:id="rId16">
        <w:r>
          <w:rPr>
            <w:color w:val="0563C1"/>
            <w:u w:val="single"/>
          </w:rPr>
          <w:t>PMID:42041700 ↗</w:t>
        </w:r>
      </w:hyperlink>
      <w:r>
        <w:t>).</w:t>
      </w:r>
    </w:p>
    <w:p>
      <w:r>
        <w:t>The core interobserver variability problem is well-established in the field (general knowledge — not tool-verified for specific kappa statistics in this run): studies have consistently shown that pathologist agreement (Cohen's kappa) for distinguishing IHC 0 from IHC 1+ is substantially lower than for distinguishing IHC 2+ from IHC 3+. The clinical consequence is that a patient's eligibility for T-DXd therapy may depend on which pathologist reads their slide — a situation that is both scientifically unsatisfactory and ethically concerning.</w:t>
      </w:r>
    </w:p>
    <w:p>
      <w:r>
        <w:t>---</w:t>
      </w:r>
    </w:p>
    <w:p>
      <w:pPr>
        <w:pStyle w:val="Heading3"/>
      </w:pPr>
      <w:r>
        <w:t>3. The Emerging HER2-Ultralow Category</w:t>
      </w:r>
    </w:p>
    <w:p>
      <w:r>
        <w:t xml:space="preserve">The DESTINY-Breast06 trial introduced a further refinement: the </w:t>
      </w:r>
      <w:r>
        <w:rPr>
          <w:b/>
        </w:rPr>
        <w:t>HER2-ultralow</w:t>
      </w:r>
      <w:r>
        <w:t xml:space="preserve"> category, defined as IHC staining that is detectable but does not meet the threshold for IHC 1+ — specifically:</w:t>
      </w:r>
    </w:p>
    <w:p>
      <w:pPr>
        <w:pStyle w:val="ListBullet"/>
      </w:pPr>
      <w:r>
        <w:t xml:space="preserve">Incomplete faint membrane staining in </w:t>
      </w:r>
      <w:r>
        <w:rPr>
          <w:b/>
        </w:rPr>
        <w:t>≤10% of tumor cells</w:t>
      </w:r>
      <w:r>
        <w:t xml:space="preserve"> (which under ASCO/CAP 2018 guidelines would be scored IHC 0), OR</w:t>
      </w:r>
    </w:p>
    <w:p>
      <w:pPr>
        <w:pStyle w:val="ListBullet"/>
      </w:pPr>
      <w:r>
        <w:t>Faint staining in any proportion of cells that a pathologist judges to be present but below the IHC 1+ threshold</w:t>
      </w:r>
    </w:p>
    <w:p>
      <w:r>
        <w:t>The DESTINY-Breast06 trial demonstrated clinical activity of T-DXd in HER2-ultralow patients, suggesting that even this sub-threshold level of HER2 protein expression is sufficient for ADC payload delivery (</w:t>
      </w:r>
      <w:hyperlink r:id="rId16">
        <w:r>
          <w:rPr>
            <w:color w:val="0563C1"/>
            <w:u w:val="single"/>
          </w:rPr>
          <w:t>PMID:42041700 ↗</w:t>
        </w:r>
      </w:hyperlink>
      <w:r>
        <w:t>). This finding has profound implications:</w:t>
      </w:r>
    </w:p>
    <w:p>
      <w:pPr>
        <w:pStyle w:val="ListBullet"/>
      </w:pPr>
      <w:r>
        <w:t>It further blurs the already-problematic IHC 0 vs. 1+ boundary</w:t>
      </w:r>
    </w:p>
    <w:p>
      <w:pPr>
        <w:pStyle w:val="ListBullet"/>
      </w:pPr>
      <w:r>
        <w:t xml:space="preserve">It suggests that the relevant biological variable is </w:t>
      </w:r>
      <w:r>
        <w:rPr>
          <w:b/>
        </w:rPr>
        <w:t>any detectable HER2 protein</w:t>
      </w:r>
      <w:r>
        <w:t xml:space="preserve"> rather than a discrete scoring threshold</w:t>
      </w:r>
    </w:p>
    <w:p>
      <w:pPr>
        <w:pStyle w:val="ListBullet"/>
      </w:pPr>
      <w:r>
        <w:t>It raises the question of whether the current IHC scoring system — designed for a binary positive/negative determination — is the appropriate tool for this therapeutic context at all</w:t>
      </w:r>
    </w:p>
    <w:p>
      <w:pPr>
        <w:pStyle w:val="ListBullet"/>
      </w:pPr>
      <w:r>
        <w:t>It expands the potential addressable population beyond HER2-low into a broader "HER2-detectable" category</w:t>
      </w:r>
    </w:p>
    <w:p>
      <w:r>
        <w:t>The regulatory status of HER2-ultralow as a formally approved indication and the companion diagnostic requirements for this sub-category remain in evolution as of the available evidence (</w:t>
      </w:r>
      <w:hyperlink r:id="rId16">
        <w:r>
          <w:rPr>
            <w:color w:val="0563C1"/>
            <w:u w:val="single"/>
          </w:rPr>
          <w:t>PMID:42041700 ↗</w:t>
        </w:r>
      </w:hyperlink>
      <w:r>
        <w:t>).</w:t>
      </w:r>
    </w:p>
    <w:p>
      <w:r>
        <w:t>---</w:t>
      </w:r>
    </w:p>
    <w:p>
      <w:pPr>
        <w:pStyle w:val="Heading3"/>
      </w:pPr>
      <w:r>
        <w:t>4. ISH and Its Role in HER2-Low Determination</w:t>
      </w:r>
    </w:p>
    <w:p>
      <w:r>
        <w:t xml:space="preserve">In situ hybridization (ISH) — either fluorescence (FISH) or chromogenic (CISH/SISH) — plays a </w:t>
      </w:r>
      <w:r>
        <w:rPr>
          <w:b/>
        </w:rPr>
        <w:t>confirmatory rather than primary</w:t>
      </w:r>
      <w:r>
        <w:t xml:space="preserve"> role in HER2-low determination. Its function in this context is:</w:t>
      </w:r>
    </w:p>
    <w:p>
      <w:pPr>
        <w:pStyle w:val="ListNumber"/>
      </w:pPr>
      <w:r>
        <w:rPr>
          <w:b/>
        </w:rPr>
        <w:t>Reflex testing for IHC 2+ cases</w:t>
      </w:r>
      <w:r>
        <w:t>: Per ASCO/CAP guidelines, all IHC 2+ cases require ISH to determine amplification status. IHC 2+/ISH-amplified cases are HER2-positive; IHC 2+/ISH-non-amplified cases are HER2-low.</w:t>
      </w:r>
    </w:p>
    <w:p>
      <w:pPr>
        <w:pStyle w:val="ListNumber"/>
      </w:pPr>
      <w:r>
        <w:rPr>
          <w:b/>
        </w:rPr>
        <w:t>ISH is NOT performed for IHC 0 or IHC 1+ cases</w:t>
      </w:r>
      <w:r>
        <w:t xml:space="preserve"> in standard practice — these are classified without ISH confirmation.</w:t>
      </w:r>
    </w:p>
    <w:p>
      <w:pPr>
        <w:pStyle w:val="ListNumber"/>
      </w:pPr>
      <w:r>
        <w:rPr>
          <w:b/>
        </w:rPr>
        <w:t>ISH does not resolve the IHC 0 vs. 1+ problem</w:t>
      </w:r>
      <w:r>
        <w:t>: Because ISH measures gene copy number rather than protein expression level, it cannot distinguish between IHC 0 and IHC 1+ protein staining. The critical HER2-low boundary is a protein-level distinction that ISH cannot adjudicate.</w:t>
      </w:r>
    </w:p>
    <w:p>
      <w:r>
        <w:t>The practical consequence is that the most therapeutically consequential distinction in HER2-low breast cancer — IHC 0 vs. IHC 1+ — is made entirely on the basis of subjective visual assessment of protein staining intensity, without any molecular confirmatory test. This is a structural weakness in the current diagnostic paradigm (</w:t>
      </w:r>
      <w:hyperlink r:id="rId16">
        <w:r>
          <w:rPr>
            <w:color w:val="0563C1"/>
            <w:u w:val="single"/>
          </w:rPr>
          <w:t>PMID:42041700 ↗</w:t>
        </w:r>
      </w:hyperlink>
      <w:r>
        <w:t>).</w:t>
      </w:r>
    </w:p>
    <w:p>
      <w:r>
        <w:t>ISH concordance with IHC in the HER2-low context is therefore not the primary diagnostic challenge; the challenge is the IHC scoring itself. Specific ISH concordance rates for HER2-low cases were not retrieved in this run.</w:t>
      </w:r>
    </w:p>
    <w:p>
      <w:r>
        <w:t>---</w:t>
      </w:r>
    </w:p>
    <w:p>
      <w:pPr>
        <w:pStyle w:val="Heading3"/>
      </w:pPr>
      <w:r>
        <w:t>5. Companion Diagnostics: VENTANA/PATHWAY Assays and Enhertu Approvals</w:t>
      </w:r>
    </w:p>
    <w:p>
      <w:r>
        <w:t xml:space="preserve">The companion diagnostic landscape for T-DXd (Enhertu) in HER2-low breast cancer is centered on the </w:t>
      </w:r>
      <w:r>
        <w:rPr>
          <w:b/>
        </w:rPr>
        <w:t>VENTANA PATHWAY anti-HER2/neu (4B5)</w:t>
      </w:r>
      <w:r>
        <w:t xml:space="preserve"> assay (Roche/Ventana), which received FDA-expanded approval as the CDx for HER2-low identification in September 2022 (</w:t>
      </w:r>
      <w:hyperlink r:id="rId16">
        <w:r>
          <w:rPr>
            <w:color w:val="0563C1"/>
            <w:u w:val="single"/>
          </w:rPr>
          <w:t>PMID:42041700 ↗</w:t>
        </w:r>
      </w:hyperlink>
      <w:r>
        <w:t>).</w:t>
      </w:r>
    </w:p>
    <w:p>
      <w:r>
        <w:t>Key features and limitations of the approved CDx framework:</w:t>
      </w:r>
    </w:p>
    <w:tbl>
      <w:tblPr>
        <w:tblStyle w:val="TableGrid"/>
        <w:tblW w:type="auto" w:w="0"/>
        <w:tblLook w:firstColumn="1" w:firstRow="1" w:lastColumn="0" w:lastRow="0" w:noHBand="0" w:noVBand="1" w:val="04A0"/>
      </w:tblPr>
      <w:tblGrid>
        <w:gridCol w:w="2880"/>
        <w:gridCol w:w="2880"/>
        <w:gridCol w:w="2880"/>
      </w:tblGrid>
      <w:tr>
        <w:tc>
          <w:tcPr>
            <w:tcW w:type="dxa" w:w="2880"/>
            <w:shd w:val="clear" w:fill="0F172A"/>
          </w:tcPr>
          <w:p>
            <w:r>
              <w:rPr>
                <w:b/>
                <w:color w:val="FFFFFF"/>
                <w:sz w:val="19"/>
              </w:rPr>
              <w:t>Feature</w:t>
            </w:r>
          </w:p>
        </w:tc>
        <w:tc>
          <w:tcPr>
            <w:tcW w:type="dxa" w:w="2880"/>
            <w:shd w:val="clear" w:fill="0F172A"/>
          </w:tcPr>
          <w:p>
            <w:r>
              <w:rPr>
                <w:b/>
                <w:color w:val="FFFFFF"/>
                <w:sz w:val="19"/>
              </w:rPr>
              <w:t>Detail</w:t>
            </w:r>
          </w:p>
        </w:tc>
        <w:tc>
          <w:tcPr>
            <w:tcW w:type="dxa" w:w="2880"/>
            <w:shd w:val="clear" w:fill="0F172A"/>
          </w:tcPr>
          <w:p>
            <w:r>
              <w:rPr>
                <w:b/>
                <w:color w:val="FFFFFF"/>
                <w:sz w:val="19"/>
              </w:rPr>
              <w:t>Source</w:t>
            </w:r>
          </w:p>
        </w:tc>
      </w:tr>
      <w:tr>
        <w:tc>
          <w:tcPr>
            <w:tcW w:type="dxa" w:w="2880"/>
          </w:tcPr>
          <w:p>
            <w:r>
              <w:rPr>
                <w:sz w:val="20"/>
              </w:rPr>
              <w:t>Assay</w:t>
            </w:r>
          </w:p>
        </w:tc>
        <w:tc>
          <w:tcPr>
            <w:tcW w:type="dxa" w:w="2880"/>
          </w:tcPr>
          <w:p>
            <w:r>
              <w:rPr>
                <w:sz w:val="20"/>
              </w:rPr>
              <w:t>VENTANA PATHWAY anti-HER2/neu (clone 4B5)</w:t>
            </w:r>
          </w:p>
        </w:tc>
        <w:tc>
          <w:tcPr>
            <w:tcW w:type="dxa" w:w="2880"/>
          </w:tcPr>
          <w:p>
            <w:hyperlink r:id="rId16">
              <w:r>
                <w:rPr>
                  <w:color w:val="0563C1"/>
                  <w:u w:val="single"/>
                </w:rPr>
                <w:t>PMID:42041700 ↗</w:t>
              </w:r>
            </w:hyperlink>
          </w:p>
        </w:tc>
      </w:tr>
      <w:tr>
        <w:tc>
          <w:tcPr>
            <w:tcW w:type="dxa" w:w="2880"/>
            <w:shd w:val="clear" w:fill="F1F5F9"/>
          </w:tcPr>
          <w:p>
            <w:r>
              <w:rPr>
                <w:sz w:val="20"/>
              </w:rPr>
              <w:t>Regulatory basis</w:t>
            </w:r>
          </w:p>
        </w:tc>
        <w:tc>
          <w:tcPr>
            <w:tcW w:type="dxa" w:w="2880"/>
            <w:shd w:val="clear" w:fill="F1F5F9"/>
          </w:tcPr>
          <w:p>
            <w:r>
              <w:rPr>
                <w:sz w:val="20"/>
              </w:rPr>
              <w:t>FDA expanded approval, September 2022</w:t>
            </w:r>
          </w:p>
        </w:tc>
        <w:tc>
          <w:tcPr>
            <w:tcW w:type="dxa" w:w="2880"/>
            <w:shd w:val="clear" w:fill="F1F5F9"/>
          </w:tcPr>
          <w:p>
            <w:hyperlink r:id="rId16">
              <w:r>
                <w:rPr>
                  <w:color w:val="0563C1"/>
                  <w:u w:val="single"/>
                </w:rPr>
                <w:t>PMID:42041700 ↗</w:t>
              </w:r>
            </w:hyperlink>
          </w:p>
        </w:tc>
      </w:tr>
      <w:tr>
        <w:tc>
          <w:tcPr>
            <w:tcW w:type="dxa" w:w="2880"/>
          </w:tcPr>
          <w:p>
            <w:r>
              <w:rPr>
                <w:sz w:val="20"/>
              </w:rPr>
              <w:t>Clinical trials supporting approval</w:t>
            </w:r>
          </w:p>
        </w:tc>
        <w:tc>
          <w:tcPr>
            <w:tcW w:type="dxa" w:w="2880"/>
          </w:tcPr>
          <w:p>
            <w:r>
              <w:rPr>
                <w:sz w:val="20"/>
              </w:rPr>
              <w:t>DESTINY-Breast04 and DESTINY-Breast06</w:t>
            </w:r>
          </w:p>
        </w:tc>
        <w:tc>
          <w:tcPr>
            <w:tcW w:type="dxa" w:w="2880"/>
          </w:tcPr>
          <w:p>
            <w:hyperlink r:id="rId16">
              <w:r>
                <w:rPr>
                  <w:color w:val="0563C1"/>
                  <w:u w:val="single"/>
                </w:rPr>
                <w:t>PMID:42041700 ↗</w:t>
              </w:r>
            </w:hyperlink>
          </w:p>
        </w:tc>
      </w:tr>
      <w:tr>
        <w:tc>
          <w:tcPr>
            <w:tcW w:type="dxa" w:w="2880"/>
            <w:shd w:val="clear" w:fill="F1F5F9"/>
          </w:tcPr>
          <w:p>
            <w:r>
              <w:rPr>
                <w:sz w:val="20"/>
              </w:rPr>
              <w:t>Original intended use</w:t>
            </w:r>
          </w:p>
        </w:tc>
        <w:tc>
          <w:tcPr>
            <w:tcW w:type="dxa" w:w="2880"/>
            <w:shd w:val="clear" w:fill="F1F5F9"/>
          </w:tcPr>
          <w:p>
            <w:r>
              <w:rPr>
                <w:sz w:val="20"/>
              </w:rPr>
              <w:t>HER2 overexpression (3+) / gene amplification detection</w:t>
            </w:r>
          </w:p>
        </w:tc>
        <w:tc>
          <w:tcPr>
            <w:tcW w:type="dxa" w:w="2880"/>
            <w:shd w:val="clear" w:fill="F1F5F9"/>
          </w:tcPr>
          <w:p>
            <w:hyperlink r:id="rId16">
              <w:r>
                <w:rPr>
                  <w:color w:val="0563C1"/>
                  <w:u w:val="single"/>
                </w:rPr>
                <w:t>PMID:42041700 ↗</w:t>
              </w:r>
            </w:hyperlink>
          </w:p>
        </w:tc>
      </w:tr>
      <w:tr>
        <w:tc>
          <w:tcPr>
            <w:tcW w:type="dxa" w:w="2880"/>
          </w:tcPr>
          <w:p>
            <w:r>
              <w:rPr>
                <w:sz w:val="20"/>
              </w:rPr>
              <w:t>Analytical validation for IHC 1+</w:t>
            </w:r>
          </w:p>
        </w:tc>
        <w:tc>
          <w:tcPr>
            <w:tcW w:type="dxa" w:w="2880"/>
          </w:tcPr>
          <w:p>
            <w:r>
              <w:rPr>
                <w:sz w:val="20"/>
              </w:rPr>
              <w:t>Not established</w:t>
            </w:r>
          </w:p>
        </w:tc>
        <w:tc>
          <w:tcPr>
            <w:tcW w:type="dxa" w:w="2880"/>
          </w:tcPr>
          <w:p>
            <w:hyperlink r:id="rId16">
              <w:r>
                <w:rPr>
                  <w:color w:val="0563C1"/>
                  <w:u w:val="single"/>
                </w:rPr>
                <w:t>PMID:42041700 ↗</w:t>
              </w:r>
            </w:hyperlink>
          </w:p>
        </w:tc>
      </w:tr>
      <w:tr>
        <w:tc>
          <w:tcPr>
            <w:tcW w:type="dxa" w:w="2880"/>
            <w:shd w:val="clear" w:fill="F1F5F9"/>
          </w:tcPr>
          <w:p>
            <w:r>
              <w:rPr>
                <w:sz w:val="20"/>
              </w:rPr>
              <w:t>Reproducibility at low HER2 levels</w:t>
            </w:r>
          </w:p>
        </w:tc>
        <w:tc>
          <w:tcPr>
            <w:tcW w:type="dxa" w:w="2880"/>
            <w:shd w:val="clear" w:fill="F1F5F9"/>
          </w:tcPr>
          <w:p>
            <w:r>
              <w:rPr>
                <w:sz w:val="20"/>
              </w:rPr>
              <w:t>Poor (acknowledged limitation)</w:t>
            </w:r>
          </w:p>
        </w:tc>
        <w:tc>
          <w:tcPr>
            <w:tcW w:type="dxa" w:w="2880"/>
            <w:shd w:val="clear" w:fill="F1F5F9"/>
          </w:tcPr>
          <w:p>
            <w:hyperlink r:id="rId16">
              <w:r>
                <w:rPr>
                  <w:color w:val="0563C1"/>
                  <w:u w:val="single"/>
                </w:rPr>
                <w:t>PMID:42041700 ↗</w:t>
              </w:r>
            </w:hyperlink>
          </w:p>
        </w:tc>
      </w:tr>
    </w:tbl>
    <w:p>
      <w:r>
        <w:t xml:space="preserve">The </w:t>
      </w:r>
      <w:r>
        <w:rPr>
          <w:b/>
        </w:rPr>
        <w:t>PATHWAY anti-HER2/neu (4B5)</w:t>
      </w:r>
      <w:r>
        <w:t xml:space="preserve"> assay is a rabbit monoclonal antibody-based IHC assay run on the VENTANA BenchMark platform. The same 4B5 clone is used across the HER2-low and HER2-positive scoring spectrum, meaning the assay's sensitivity characteristics — optimized for detecting strong 3+ overexpression — may not be ideally suited for the subtle distinctions required at the 0/1+ boundary.</w:t>
      </w:r>
    </w:p>
    <w:p>
      <w:r>
        <w:t xml:space="preserve">The </w:t>
      </w:r>
      <w:r>
        <w:rPr>
          <w:b/>
        </w:rPr>
        <w:t>DAKO HercepTest</w:t>
      </w:r>
      <w:r>
        <w:t xml:space="preserve"> (Agilent) is the other major HER2 IHC assay in clinical use and has also been used in HER2-low clinical trials, though the specific CDx approval status for T-DXd in HER2-low with the HercepTest was not retrieved in this run. Concordance between the 4B5 and HercepTest assays at the IHC 0/1+ boundary is a recognized source of inter-laboratory variability (general knowledge — not tool-verified for specific concordance rates in this run).</w:t>
      </w:r>
    </w:p>
    <w:p>
      <w:r>
        <w:rPr>
          <w:b/>
        </w:rPr>
        <w:t>Quantitative and digital pathology approaches</w:t>
      </w:r>
      <w:r>
        <w:t xml:space="preserve"> represent the emerging alternative to subjective visual scoring. The deep learning approach described in </w:t>
      </w:r>
      <w:hyperlink r:id="rId15">
        <w:r>
          <w:rPr>
            <w:color w:val="0563C1"/>
            <w:u w:val="single"/>
          </w:rPr>
          <w:t>PMID:41446275 ↗</w:t>
        </w:r>
      </w:hyperlink>
      <w:r>
        <w:t xml:space="preserve"> — using ConvNeXt on whole-slide images — achieved F1 of 82.4% for HER2-low classification, suggesting that computational methods can approach but not yet fully replace expert pathologist scoring. The development of quantitative HER2 protein measurement platforms (e.g., AQUA, quantitative immunofluorescence, mass spectrometry-based proteomics) as potential CDx alternatives is an active area of investigation (general knowledge — specific trial data not retrieved in this run).</w:t>
      </w:r>
    </w:p>
    <w:p>
      <w:r>
        <w:t>---</w:t>
      </w:r>
    </w:p>
    <w:p>
      <w:pPr>
        <w:pStyle w:val="Heading3"/>
      </w:pPr>
      <w:r>
        <w:t>6. Addressable Population: Proportion of Breast Cancers That Are HER2-Low</w:t>
      </w:r>
    </w:p>
    <w:p>
      <w:r>
        <w:t>The proportion of breast cancers classified as HER2-low is a critical parameter for market sizing and trial design. Based on the evidence retrieved in this run:</w:t>
      </w:r>
    </w:p>
    <w:p>
      <w:r>
        <w:t>The reclassification of previously "HER2-negative" tumors into HER2-low (IHC 1+ or IHC 2+/ISH-non-amplified) and HER2-zero (IHC 0) categories has been a major focus of retrospective analyses of existing breast cancer cohorts. The DESTINY-Breast04 and DESTINY-Breast06 trials enrolled patients specifically selected for HER2-low status, confirming the feasibility of prospective identification of this population (</w:t>
      </w:r>
      <w:hyperlink r:id="rId16">
        <w:r>
          <w:rPr>
            <w:color w:val="0563C1"/>
            <w:u w:val="single"/>
          </w:rPr>
          <w:t>PMID:42041700 ↗</w:t>
        </w:r>
      </w:hyperlink>
      <w:r>
        <w:t>).</w:t>
      </w:r>
    </w:p>
    <w:p>
      <w:r>
        <w:t>The specific proportion figures (commonly cited as approximately 45–55% of all breast cancers being HER2-low, with breakdown by HR+ and TNBC subsets) were not retrieved by tool calls in this run and are therefore not cited as tool-verified numbers. The epidemiological breakdown by geography and ethnicity was similarly not retrieved. These figures are widely cited in the literature (general knowledge) but require tool-verified sourcing for grounded quantitative claims.</w:t>
      </w:r>
    </w:p>
    <w:p>
      <w:r>
        <w:t>What can be stated from retrieved evidence is:</w:t>
      </w:r>
    </w:p>
    <w:p>
      <w:pPr>
        <w:pStyle w:val="ListBullet"/>
      </w:pPr>
      <w:r>
        <w:t xml:space="preserve">The HER2-low population is </w:t>
      </w:r>
      <w:r>
        <w:rPr>
          <w:b/>
        </w:rPr>
        <w:t>large enough to support pivotal randomized trials</w:t>
      </w:r>
      <w:r>
        <w:t xml:space="preserve"> (DESTINY-Breast04 enrolled 557 patients; DESTINY-Breast06 enrolled a comparable population), confirming clinical feasibility of prospective identification (</w:t>
      </w:r>
      <w:hyperlink r:id="rId16">
        <w:r>
          <w:rPr>
            <w:color w:val="0563C1"/>
            <w:u w:val="single"/>
          </w:rPr>
          <w:t>PMID:42041700 ↗</w:t>
        </w:r>
      </w:hyperlink>
      <w:r>
        <w:t>)</w:t>
      </w:r>
    </w:p>
    <w:p>
      <w:pPr>
        <w:pStyle w:val="ListBullet"/>
      </w:pPr>
      <w:r>
        <w:t xml:space="preserve">The HER2-ultralow population, if included, </w:t>
      </w:r>
      <w:r>
        <w:rPr>
          <w:b/>
        </w:rPr>
        <w:t>further expands</w:t>
      </w:r>
      <w:r>
        <w:t xml:space="preserve"> the addressable population beyond the IHC 1+ and IHC 2+/ISH-non-amplified groups (</w:t>
      </w:r>
      <w:hyperlink r:id="rId16">
        <w:r>
          <w:rPr>
            <w:color w:val="0563C1"/>
            <w:u w:val="single"/>
          </w:rPr>
          <w:t>PMID:42041700 ↗</w:t>
        </w:r>
      </w:hyperlink>
      <w:r>
        <w:t>)</w:t>
      </w:r>
    </w:p>
    <w:p>
      <w:pPr>
        <w:pStyle w:val="ListBullet"/>
      </w:pPr>
      <w:r>
        <w:t xml:space="preserve">The diagnostic reproducibility problem means that the </w:t>
      </w:r>
      <w:r>
        <w:rPr>
          <w:b/>
        </w:rPr>
        <w:t>effective addressable population in real-world practice</w:t>
      </w:r>
      <w:r>
        <w:t xml:space="preserve"> may differ from trial populations, where central pathology review is used — a critical implementation gap (</w:t>
      </w:r>
      <w:hyperlink r:id="rId16">
        <w:r>
          <w:rPr>
            <w:color w:val="0563C1"/>
            <w:u w:val="single"/>
          </w:rPr>
          <w:t>PMID:42041700 ↗</w:t>
        </w:r>
      </w:hyperlink>
      <w:r>
        <w:t>)</w:t>
      </w:r>
    </w:p>
    <w:p>
      <w:r>
        <w:t>---</w:t>
      </w:r>
    </w:p>
    <w:p>
      <w:pPr>
        <w:pStyle w:val="Heading3"/>
      </w:pPr>
      <w:r>
        <w:t>7. Unmet Need: After Prior Endocrine/Chemotherapy Lines vs. Current Standard of Care</w:t>
      </w:r>
    </w:p>
    <w:p>
      <w:r>
        <w:t>The unmet need in HER2-low breast cancer is defined by the treatment landscape prior to T-DXd approval:</w:t>
      </w:r>
    </w:p>
    <w:p>
      <w:r>
        <w:rPr>
          <w:b/>
        </w:rPr>
        <w:t>HR+/HER2-low (the majority of HER2-low tumors):</w:t>
      </w:r>
    </w:p>
    <w:p>
      <w:pPr>
        <w:pStyle w:val="ListBullet"/>
      </w:pPr>
      <w:r>
        <w:t>Standard of care in later lines historically consisted of sequential endocrine therapy (aromatase inhibitors, fulvestrant) combined with CDK4/6 inhibitors (palbociclib, ribociclib, abemaciclib) in earlier lines, followed by chemotherapy (capecitabine, eribulin, vinorelbine, gemcitabine) in later lines</w:t>
      </w:r>
    </w:p>
    <w:p>
      <w:pPr>
        <w:pStyle w:val="ListBullet"/>
      </w:pPr>
      <w:r>
        <w:t>Median progression-free survival on later-line chemotherapy in this population was measured in months, with no targeted option exploiting the HER2-low expression level</w:t>
      </w:r>
    </w:p>
    <w:p>
      <w:pPr>
        <w:pStyle w:val="ListBullet"/>
      </w:pPr>
      <w:r>
        <w:t>T-DXd's approval based on DESTINY-Breast04 and DESTINY-Breast06 addressed this gap by providing a HER2-directed option for patients who had previously been classified as HER2-negative and therefore ineligible for any HER2-targeted therapy (</w:t>
      </w:r>
      <w:hyperlink r:id="rId16">
        <w:r>
          <w:rPr>
            <w:color w:val="0563C1"/>
            <w:u w:val="single"/>
          </w:rPr>
          <w:t>PMID:42041700 ↗</w:t>
        </w:r>
      </w:hyperlink>
      <w:r>
        <w:t>)</w:t>
      </w:r>
    </w:p>
    <w:p>
      <w:r>
        <w:rPr>
          <w:b/>
        </w:rPr>
        <w:t>TNBC/HER2-low:</w:t>
      </w:r>
    </w:p>
    <w:p>
      <w:pPr>
        <w:pStyle w:val="ListBullet"/>
      </w:pPr>
      <w:r>
        <w:t>The unmet need is even more acute: TNBC has no hormone receptor or HER2 overexpression to target, and later-line options are limited to chemotherapy, PARP inhibitors (in BRCA-mutated cases), sacituzumab govitecan (Trop-2 ADC), and pembrolizumab (in PD-L1-positive cases)</w:t>
      </w:r>
    </w:p>
    <w:p>
      <w:pPr>
        <w:pStyle w:val="ListBullet"/>
      </w:pPr>
      <w:r>
        <w:t>The identification of HER2-low expression within TNBC opened a new therapeutic avenue for a subset of TNBC patients who had no HER2-directed option (</w:t>
      </w:r>
      <w:hyperlink r:id="rId16">
        <w:r>
          <w:rPr>
            <w:color w:val="0563C1"/>
            <w:u w:val="single"/>
          </w:rPr>
          <w:t>PMID:42041700 ↗</w:t>
        </w:r>
      </w:hyperlink>
      <w:r>
        <w:t>)</w:t>
      </w:r>
    </w:p>
    <w:p>
      <w:r>
        <w:rPr>
          <w:b/>
        </w:rPr>
        <w:t>The diagnostic reproducibility problem as an unmet need in itself:</w:t>
      </w:r>
    </w:p>
    <w:p>
      <w:r>
        <w:t xml:space="preserve">The review in </w:t>
      </w:r>
      <w:hyperlink r:id="rId16">
        <w:r>
          <w:rPr>
            <w:color w:val="0563C1"/>
            <w:u w:val="single"/>
          </w:rPr>
          <w:t>PMID:42041700 ↗</w:t>
        </w:r>
      </w:hyperlink>
      <w:r>
        <w:t xml:space="preserve"> frames the CDx challenge as a distinct and unresolved unmet need: patients whose tumors are scored IHC 0 by one pathologist but IHC 1+ by another may be denied or incorrectly granted access to T-DXd based on subjective scoring variability rather than true biological differences. The lack of analytical validation of the 4B5 assay for IHC 1+ detection, and the absence of a quantitative or molecular standard for HER2-low determination, represent a gap that could affect both patient access and trial integrity (</w:t>
      </w:r>
      <w:hyperlink r:id="rId16">
        <w:r>
          <w:rPr>
            <w:color w:val="0563C1"/>
            <w:u w:val="single"/>
          </w:rPr>
          <w:t>PMID:42041700 ↗</w:t>
        </w:r>
      </w:hyperlink>
      <w:r>
        <w:t>).</w:t>
      </w:r>
    </w:p>
    <w:p>
      <w:r>
        <w:rPr>
          <w:b/>
        </w:rPr>
        <w:t>Emerging competitive dynamics:</w:t>
      </w:r>
    </w:p>
    <w:p>
      <w:r>
        <w:t>The approval of T-DXd for HER2-low has itself created a new competitive landscape in which multiple ADCs and other HER2-directed agents are being evaluated in HER2-low and HER2-ultralow settings. The CDx and scoring framework will need to evolve to support this expanding pipeline — including the possibility that different ADCs with different HER2-binding affinities and payload mechanisms may require different expression thresholds for activity, potentially necessitating assay-specific CDx development rather than a single universal HER2-low scoring standard (</w:t>
      </w:r>
      <w:hyperlink r:id="rId16">
        <w:r>
          <w:rPr>
            <w:color w:val="0563C1"/>
            <w:u w:val="single"/>
          </w:rPr>
          <w:t>PMID:42041700 ↗</w:t>
        </w:r>
      </w:hyperlink>
      <w:r>
        <w:t>).</w:t>
      </w:r>
    </w:p>
    <w:p>
      <w:r>
        <w:t>---</w:t>
      </w:r>
    </w:p>
    <w:p>
      <w:pPr>
        <w:pStyle w:val="Heading3"/>
      </w:pPr>
      <w:r>
        <w:t>8. Summary: Key Diagnostic and Epidemiological Gaps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fill="0F172A"/>
          </w:tcPr>
          <w:p>
            <w:r>
              <w:rPr>
                <w:b/>
                <w:color w:val="FFFFFF"/>
                <w:sz w:val="19"/>
              </w:rPr>
              <w:t>Dimension</w:t>
            </w:r>
          </w:p>
        </w:tc>
        <w:tc>
          <w:tcPr>
            <w:tcW w:type="dxa" w:w="2160"/>
            <w:shd w:val="clear" w:fill="0F172A"/>
          </w:tcPr>
          <w:p>
            <w:r>
              <w:rPr>
                <w:b/>
                <w:color w:val="FFFFFF"/>
                <w:sz w:val="19"/>
              </w:rPr>
              <w:t>Current Status</w:t>
            </w:r>
          </w:p>
        </w:tc>
        <w:tc>
          <w:tcPr>
            <w:tcW w:type="dxa" w:w="2160"/>
            <w:shd w:val="clear" w:fill="0F172A"/>
          </w:tcPr>
          <w:p>
            <w:r>
              <w:rPr>
                <w:b/>
                <w:color w:val="FFFFFF"/>
                <w:sz w:val="19"/>
              </w:rPr>
              <w:t>Key Gap</w:t>
            </w:r>
          </w:p>
        </w:tc>
        <w:tc>
          <w:tcPr>
            <w:tcW w:type="dxa" w:w="2160"/>
            <w:shd w:val="clear" w:fill="0F172A"/>
          </w:tcPr>
          <w:p>
            <w:r>
              <w:rPr>
                <w:b/>
                <w:color w:val="FFFFFF"/>
                <w:sz w:val="19"/>
              </w:rPr>
              <w:t>Source</w:t>
            </w:r>
          </w:p>
        </w:tc>
      </w:tr>
      <w:tr>
        <w:tc>
          <w:tcPr>
            <w:tcW w:type="dxa" w:w="2160"/>
          </w:tcPr>
          <w:p>
            <w:r>
              <w:rPr>
                <w:sz w:val="20"/>
              </w:rPr>
              <w:t>IHC 0 vs. 1+ reproducibility</w:t>
            </w:r>
          </w:p>
        </w:tc>
        <w:tc>
          <w:tcPr>
            <w:tcW w:type="dxa" w:w="2160"/>
          </w:tcPr>
          <w:p>
            <w:r>
              <w:rPr>
                <w:sz w:val="20"/>
              </w:rPr>
              <w:t>Poor; AI F1 75.6% for IHC-0 class</w:t>
            </w:r>
          </w:p>
        </w:tc>
        <w:tc>
          <w:tcPr>
            <w:tcW w:type="dxa" w:w="2160"/>
          </w:tcPr>
          <w:p>
            <w:r>
              <w:rPr>
                <w:sz w:val="20"/>
              </w:rPr>
              <w:t>No quantitative standard; subjective visual scoring</w:t>
            </w:r>
          </w:p>
        </w:tc>
        <w:tc>
          <w:tcPr>
            <w:tcW w:type="dxa" w:w="2160"/>
          </w:tcPr>
          <w:p>
            <w:hyperlink r:id="rId15">
              <w:r>
                <w:rPr>
                  <w:color w:val="0563C1"/>
                  <w:u w:val="single"/>
                </w:rPr>
                <w:t>PMID:41446275 ↗</w:t>
              </w:r>
            </w:hyperlink>
          </w:p>
        </w:tc>
      </w:tr>
      <w:tr>
        <w:tc>
          <w:tcPr>
            <w:tcW w:type="dxa" w:w="2160"/>
            <w:shd w:val="clear" w:fill="F1F5F9"/>
          </w:tcPr>
          <w:p>
            <w:r>
              <w:rPr>
                <w:sz w:val="20"/>
              </w:rPr>
              <w:t>CDx assay analytical validation</w:t>
            </w:r>
          </w:p>
        </w:tc>
        <w:tc>
          <w:tcPr>
            <w:tcW w:type="dxa" w:w="2160"/>
            <w:shd w:val="clear" w:fill="F1F5F9"/>
          </w:tcPr>
          <w:p>
            <w:r>
              <w:rPr>
                <w:sz w:val="20"/>
              </w:rPr>
              <w:t>4B5 approved but not validated for IHC 1+</w:t>
            </w:r>
          </w:p>
        </w:tc>
        <w:tc>
          <w:tcPr>
            <w:tcW w:type="dxa" w:w="2160"/>
            <w:shd w:val="clear" w:fill="F1F5F9"/>
          </w:tcPr>
          <w:p>
            <w:r>
              <w:rPr>
                <w:sz w:val="20"/>
              </w:rPr>
              <w:t>Assay designed for 3+ overexpression, not low-level detection</w:t>
            </w:r>
          </w:p>
        </w:tc>
        <w:tc>
          <w:tcPr>
            <w:tcW w:type="dxa" w:w="2160"/>
            <w:shd w:val="clear" w:fill="F1F5F9"/>
          </w:tcPr>
          <w:p>
            <w:hyperlink r:id="rId16">
              <w:r>
                <w:rPr>
                  <w:color w:val="0563C1"/>
                  <w:u w:val="single"/>
                </w:rPr>
                <w:t>PMID:42041700 ↗</w:t>
              </w:r>
            </w:hyperlink>
          </w:p>
        </w:tc>
      </w:tr>
      <w:tr>
        <w:tc>
          <w:tcPr>
            <w:tcW w:type="dxa" w:w="2160"/>
          </w:tcPr>
          <w:p>
            <w:r>
              <w:rPr>
                <w:sz w:val="20"/>
              </w:rPr>
              <w:t>HER2-ultralow definition</w:t>
            </w:r>
          </w:p>
        </w:tc>
        <w:tc>
          <w:tcPr>
            <w:tcW w:type="dxa" w:w="2160"/>
          </w:tcPr>
          <w:p>
            <w:r>
              <w:rPr>
                <w:sz w:val="20"/>
              </w:rPr>
              <w:t>Emerging; DESTINY-Breast06 data</w:t>
            </w:r>
          </w:p>
        </w:tc>
        <w:tc>
          <w:tcPr>
            <w:tcW w:type="dxa" w:w="2160"/>
          </w:tcPr>
          <w:p>
            <w:r>
              <w:rPr>
                <w:sz w:val="20"/>
              </w:rPr>
              <w:t>No regulatory CDx framework yet established</w:t>
            </w:r>
          </w:p>
        </w:tc>
        <w:tc>
          <w:tcPr>
            <w:tcW w:type="dxa" w:w="2160"/>
          </w:tcPr>
          <w:p>
            <w:hyperlink r:id="rId16">
              <w:r>
                <w:rPr>
                  <w:color w:val="0563C1"/>
                  <w:u w:val="single"/>
                </w:rPr>
                <w:t>PMID:42041700 ↗</w:t>
              </w:r>
            </w:hyperlink>
          </w:p>
        </w:tc>
      </w:tr>
      <w:tr>
        <w:tc>
          <w:tcPr>
            <w:tcW w:type="dxa" w:w="2160"/>
            <w:shd w:val="clear" w:fill="F1F5F9"/>
          </w:tcPr>
          <w:p>
            <w:r>
              <w:rPr>
                <w:sz w:val="20"/>
              </w:rPr>
              <w:t>ISH role in HER2-low</w:t>
            </w:r>
          </w:p>
        </w:tc>
        <w:tc>
          <w:tcPr>
            <w:tcW w:type="dxa" w:w="2160"/>
            <w:shd w:val="clear" w:fill="F1F5F9"/>
          </w:tcPr>
          <w:p>
            <w:r>
              <w:rPr>
                <w:sz w:val="20"/>
              </w:rPr>
              <w:t>Confirmatory for IHC 2+ only; cannot resolve 0 vs. 1+</w:t>
            </w:r>
          </w:p>
        </w:tc>
        <w:tc>
          <w:tcPr>
            <w:tcW w:type="dxa" w:w="2160"/>
            <w:shd w:val="clear" w:fill="F1F5F9"/>
          </w:tcPr>
          <w:p>
            <w:r>
              <w:rPr>
                <w:sz w:val="20"/>
              </w:rPr>
              <w:t>No molecular confirmatory test for the critical boundary</w:t>
            </w:r>
          </w:p>
        </w:tc>
        <w:tc>
          <w:tcPr>
            <w:tcW w:type="dxa" w:w="2160"/>
            <w:shd w:val="clear" w:fill="F1F5F9"/>
          </w:tcPr>
          <w:p>
            <w:r>
              <w:rPr>
                <w:sz w:val="20"/>
              </w:rPr>
              <w:t>General knowledge</w:t>
            </w:r>
          </w:p>
        </w:tc>
      </w:tr>
      <w:tr>
        <w:tc>
          <w:tcPr>
            <w:tcW w:type="dxa" w:w="2160"/>
          </w:tcPr>
          <w:p>
            <w:r>
              <w:rPr>
                <w:sz w:val="20"/>
              </w:rPr>
              <w:t>Addressable population size</w:t>
            </w:r>
          </w:p>
        </w:tc>
        <w:tc>
          <w:tcPr>
            <w:tcW w:type="dxa" w:w="2160"/>
          </w:tcPr>
          <w:p>
            <w:r>
              <w:rPr>
                <w:sz w:val="20"/>
              </w:rPr>
              <w:t>Large (supports pivotal trials)</w:t>
            </w:r>
          </w:p>
        </w:tc>
        <w:tc>
          <w:tcPr>
            <w:tcW w:type="dxa" w:w="2160"/>
          </w:tcPr>
          <w:p>
            <w:r>
              <w:rPr>
                <w:sz w:val="20"/>
              </w:rPr>
              <w:t>Exact % by HR+/TNBC/geography not retrieved this run</w:t>
            </w:r>
          </w:p>
        </w:tc>
        <w:tc>
          <w:tcPr>
            <w:tcW w:type="dxa" w:w="2160"/>
          </w:tcPr>
          <w:p>
            <w:hyperlink r:id="rId16">
              <w:r>
                <w:rPr>
                  <w:color w:val="0563C1"/>
                  <w:u w:val="single"/>
                </w:rPr>
                <w:t>PMID:42041700 ↗</w:t>
              </w:r>
            </w:hyperlink>
          </w:p>
        </w:tc>
      </w:tr>
      <w:tr>
        <w:tc>
          <w:tcPr>
            <w:tcW w:type="dxa" w:w="2160"/>
            <w:shd w:val="clear" w:fill="F1F5F9"/>
          </w:tcPr>
          <w:p>
            <w:r>
              <w:rPr>
                <w:sz w:val="20"/>
              </w:rPr>
              <w:t>Real-world vs. trial population</w:t>
            </w:r>
          </w:p>
        </w:tc>
        <w:tc>
          <w:tcPr>
            <w:tcW w:type="dxa" w:w="2160"/>
            <w:shd w:val="clear" w:fill="F1F5F9"/>
          </w:tcPr>
          <w:p>
            <w:r>
              <w:rPr>
                <w:sz w:val="20"/>
              </w:rPr>
              <w:t>Central review used in trials</w:t>
            </w:r>
          </w:p>
        </w:tc>
        <w:tc>
          <w:tcPr>
            <w:tcW w:type="dxa" w:w="2160"/>
            <w:shd w:val="clear" w:fill="F1F5F9"/>
          </w:tcPr>
          <w:p>
            <w:r>
              <w:rPr>
                <w:sz w:val="20"/>
              </w:rPr>
              <w:t>Local pathology variability may reduce real-world eligible population</w:t>
            </w:r>
          </w:p>
        </w:tc>
        <w:tc>
          <w:tcPr>
            <w:tcW w:type="dxa" w:w="2160"/>
            <w:shd w:val="clear" w:fill="F1F5F9"/>
          </w:tcPr>
          <w:p>
            <w:hyperlink r:id="rId16">
              <w:r>
                <w:rPr>
                  <w:color w:val="0563C1"/>
                  <w:u w:val="single"/>
                </w:rPr>
                <w:t>PMID:42041700 ↗</w:t>
              </w:r>
            </w:hyperlink>
          </w:p>
        </w:tc>
      </w:tr>
      <w:tr>
        <w:tc>
          <w:tcPr>
            <w:tcW w:type="dxa" w:w="2160"/>
          </w:tcPr>
          <w:p>
            <w:r>
              <w:rPr>
                <w:sz w:val="20"/>
              </w:rPr>
              <w:t>Quantitative/digital CDx</w:t>
            </w:r>
          </w:p>
        </w:tc>
        <w:tc>
          <w:tcPr>
            <w:tcW w:type="dxa" w:w="2160"/>
          </w:tcPr>
          <w:p>
            <w:r>
              <w:rPr>
                <w:sz w:val="20"/>
              </w:rPr>
              <w:t>AI approaches promising (F1 82.4% for HER2-low)</w:t>
            </w:r>
          </w:p>
        </w:tc>
        <w:tc>
          <w:tcPr>
            <w:tcW w:type="dxa" w:w="2160"/>
          </w:tcPr>
          <w:p>
            <w:r>
              <w:rPr>
                <w:sz w:val="20"/>
              </w:rPr>
              <w:t>Not yet regulatory-grade; no approved quantitative CDx</w:t>
            </w:r>
          </w:p>
        </w:tc>
        <w:tc>
          <w:tcPr>
            <w:tcW w:type="dxa" w:w="2160"/>
          </w:tcPr>
          <w:p>
            <w:hyperlink r:id="rId15">
              <w:r>
                <w:rPr>
                  <w:color w:val="0563C1"/>
                  <w:u w:val="single"/>
                </w:rPr>
                <w:t>PMID:41446275 ↗</w:t>
              </w:r>
            </w:hyperlink>
          </w:p>
        </w:tc>
      </w:tr>
    </w:tbl>
    <w:p>
      <w:pPr>
        <w:pStyle w:val="Heading2"/>
      </w:pPr>
      <w:r>
        <w:t>Conclusion &amp; Recommendation</w:t>
      </w:r>
    </w:p>
    <w:p>
      <w:r>
        <w:t xml:space="preserve">HER2 (ERBB2; UniProt </w:t>
      </w:r>
      <w:hyperlink r:id="rId9">
        <w:r>
          <w:rPr>
            <w:color w:val="0563C1"/>
            <w:u w:val="single"/>
          </w:rPr>
          <w:t>P04626 ↗</w:t>
        </w:r>
      </w:hyperlink>
      <w:r>
        <w:t>) presents a paradoxical but ultimately favorable profile as an ADC target in HER2-low breast cancer, and the synthesis below weighs each decision-critical dimension before stating the call.</w:t>
      </w:r>
    </w:p>
    <w:p>
      <w:r>
        <w:rPr>
          <w:b/>
        </w:rPr>
        <w:t>Validation strength.</w:t>
      </w:r>
      <w:r>
        <w:t xml:space="preserve"> ERBB2 carries the maximal indication-matched association sub-score of 100/100 in breast cancer (score_target, breast cancer indication), with Open Targets breast carcinoma association of 0.696 and a HER2-Positive Breast Carcinoma score of 0.658 (Open Targets, </w:t>
      </w:r>
      <w:hyperlink r:id="rId10">
        <w:r>
          <w:rPr>
            <w:color w:val="0563C1"/>
            <w:u w:val="single"/>
          </w:rPr>
          <w:t>ENSG00000141736 ↗</w:t>
        </w:r>
      </w:hyperlink>
      <w:r>
        <w:t xml:space="preserve">). Tractability is at the highest tier — Pharos TDL Tclin, tractability sub-score 92/100 (score_target) — and clinical precedent is overwhelming: 14 approved drugs and 40 total agents against </w:t>
      </w:r>
      <w:hyperlink r:id="rId13">
        <w:r>
          <w:rPr>
            <w:color w:val="0563C1"/>
            <w:u w:val="single"/>
          </w:rPr>
          <w:t>CHEMBL1824 ↗</w:t>
        </w:r>
      </w:hyperlink>
      <w:r>
        <w:t xml:space="preserve">, including two approved ADCs, trastuzumab emtansine and trastuzumab deruxtecan (clinical_precedent, </w:t>
      </w:r>
      <w:hyperlink r:id="rId13">
        <w:r>
          <w:rPr>
            <w:color w:val="0563C1"/>
            <w:u w:val="single"/>
          </w:rPr>
          <w:t>CHEMBL1824 ↗</w:t>
        </w:r>
      </w:hyperlink>
      <w:r>
        <w:t xml:space="preserve">). The decisive nuance, however, is that this validation is </w:t>
      </w:r>
      <w:r>
        <w:rPr>
          <w:b/>
        </w:rPr>
        <w:t>antigen-delivery validation, not oncogenic-dependency validation</w:t>
      </w:r>
      <w:r>
        <w:t xml:space="preserve"> in the HER2-low setting: only 15% of cell lines are dependent on ERBB2 (depmap_fraction_dependent 0.15, score_target), and germline constraint is intermediate (pLI 0.25, genetic sub-score 58/100, score_target). The majority of HER2-low tumors carry neither amplification nor activating mutations (somatic mutation frequency 2.95% pan-cancer; cBioPortal, MSK-IMPACT 2017), so the therapeutic rationale rests entirely on the ADC mechanism — surface antigen binding, internalization, and bystander payload delivery — rather than on receptor blockade.</w:t>
      </w:r>
    </w:p>
    <w:p>
      <w:r>
        <w:rPr>
          <w:b/>
        </w:rPr>
        <w:t>ADC modality fit.</w:t>
      </w:r>
      <w:r>
        <w:t xml:space="preserve"> The structural prerequisites are met: confirmed plasma-membrane localization (HPA, </w:t>
      </w:r>
      <w:hyperlink r:id="rId10">
        <w:r>
          <w:rPr>
            <w:color w:val="0563C1"/>
            <w:u w:val="single"/>
          </w:rPr>
          <w:t>ENSG00000141736 ↗</w:t>
        </w:r>
      </w:hyperlink>
      <w:r>
        <w:t>), a membrane-proximal domain IV trastuzumab epitope (PDB 1N8Z, 2.52 Å) favoring efficient internalization, and a defined non-competitive dual-epitope architecture (PDB 6OGE, 4.36 Å) enabling biparatopic designs. The ADC modality score is 70.2/100 (score_target) — the highest-justified modality given the membrane localization and approved-ADC precedent, but explicitly flagged as a "NARROW" therapeutic index due to high vital-tissue expression. T-DM1's failure in HER2-low (general knowledge) versus T-DXd's success establishes that a cleavable linker plus membrane-permeable bystander payload is table stakes for this indication.</w:t>
      </w:r>
    </w:p>
    <w:p>
      <w:r>
        <w:rPr>
          <w:b/>
        </w:rPr>
        <w:t>Safety window.</w:t>
      </w:r>
      <w:r>
        <w:t xml:space="preserve"> This is the principal liability. ERBB2 has low tissue specificity and is "detected in all" tissues (HPA, </w:t>
      </w:r>
      <w:hyperlink r:id="rId10">
        <w:r>
          <w:rPr>
            <w:color w:val="0563C1"/>
            <w:u w:val="single"/>
          </w:rPr>
          <w:t>ENSG00000141736 ↗</w:t>
        </w:r>
      </w:hyperlink>
      <w:r>
        <w:t xml:space="preserve">), with high normal-tissue expression — Nerve_Tibial 130.13 TPM, Skin 118.26 TPM, Esophagus_Mucosa 113.10 TPM, Kidney_Medulla 64.82 TPM (GTEx v8, </w:t>
      </w:r>
      <w:hyperlink r:id="rId10">
        <w:r>
          <w:rPr>
            <w:color w:val="0563C1"/>
            <w:u w:val="single"/>
          </w:rPr>
          <w:t>ENSG00000141736 ↗</w:t>
        </w:r>
      </w:hyperlink>
      <w:r>
        <w:t>.13). The safety sub-score is correspondingly low at 30/100 (vital-normal peak 64.82 TPM; score_target). In HER2-low tumors the tumor-versus-normal antigen differential is compressed relative to HER2-amplified disease, narrowing the index precisely where T-DXd must rely on a high-DAR topoisomerase-I payload. The dominant clinical class liability is ILD/pneumonitis — real-world 12-month cumulative ILD incidence of 13% (95% CI 7.2–20.6%) with two grade 5 cases (2%) (</w:t>
      </w:r>
      <w:hyperlink r:id="rId17">
        <w:r>
          <w:rPr>
            <w:color w:val="0563C1"/>
            <w:u w:val="single"/>
          </w:rPr>
          <w:t>PMID:41101156 ↗</w:t>
        </w:r>
      </w:hyperlink>
      <w:r>
        <w:t xml:space="preserve">), and the systematic meta-analysis confirms T-DXd significantly increases ILD alongside its survival benefit (mOS HR 0.72, 95% CI 0.64–0.82; mPFS HR 0.43, 95% CI 0.31–0.62; </w:t>
      </w:r>
      <w:hyperlink r:id="rId18">
        <w:r>
          <w:rPr>
            <w:color w:val="0563C1"/>
            <w:u w:val="single"/>
          </w:rPr>
          <w:t>PMID:41239655 ↗</w:t>
        </w:r>
      </w:hyperlink>
      <w:r>
        <w:t>).</w:t>
      </w:r>
    </w:p>
    <w:p>
      <w:r>
        <w:rPr>
          <w:b/>
        </w:rPr>
        <w:t>Competitive intensity.</w:t>
      </w:r>
      <w:r>
        <w:t xml:space="preserve"> T-DXd is an entrenched incumbent with a pivotal Phase III win (DESTINY-Breast04, </w:t>
      </w:r>
      <w:hyperlink r:id="rId11">
        <w:r>
          <w:rPr>
            <w:color w:val="0563C1"/>
            <w:u w:val="single"/>
          </w:rPr>
          <w:t>NCT03734029 ↗</w:t>
        </w:r>
      </w:hyperlink>
      <w:r>
        <w:t xml:space="preserve">) and an active label-expanding Phase III into HER2-low HR+ and HER2-ultralow disease (DESTINY-Breast06, </w:t>
      </w:r>
      <w:hyperlink r:id="rId12">
        <w:r>
          <w:rPr>
            <w:color w:val="0563C1"/>
            <w:u w:val="single"/>
          </w:rPr>
          <w:t>NCT04494425 ↗</w:t>
        </w:r>
      </w:hyperlink>
      <w:r>
        <w:t>, ACTIVE_NOT_RECRUITING), supported by ongoing real-world and combination programs (</w:t>
      </w:r>
      <w:hyperlink r:id="rId19">
        <w:r>
          <w:rPr>
            <w:color w:val="0563C1"/>
            <w:u w:val="single"/>
          </w:rPr>
          <w:t>NCT05945732 ↗</w:t>
        </w:r>
      </w:hyperlink>
      <w:r>
        <w:t xml:space="preserve">; </w:t>
      </w:r>
      <w:hyperlink r:id="rId20">
        <w:r>
          <w:rPr>
            <w:color w:val="0563C1"/>
            <w:u w:val="single"/>
          </w:rPr>
          <w:t>NCT07150208 ↗</w:t>
        </w:r>
      </w:hyperlink>
      <w:r>
        <w:t xml:space="preserve"> brain-metastasis; </w:t>
      </w:r>
      <w:hyperlink r:id="rId21">
        <w:r>
          <w:rPr>
            <w:color w:val="0563C1"/>
            <w:u w:val="single"/>
          </w:rPr>
          <w:t>NCT04553770 ↗</w:t>
        </w:r>
      </w:hyperlink>
      <w:r>
        <w:t xml:space="preserve"> early-stage). Competing ADCs (RC48, SYD985, ARX788) lack retrieved head-to-head HER2-low data. FTO risk against the Daiichi Sankyo/AstraZeneca topoisomerase-I/cleavable-linker estate is HIGH (general knowledge). A me-too topoisomerase-I entrant has no defensible path.</w:t>
      </w:r>
    </w:p>
    <w:p>
      <w:r>
        <w:rPr>
          <w:b/>
        </w:rPr>
        <w:t>Diagnostic readiness.</w:t>
      </w:r>
      <w:r>
        <w:t xml:space="preserve"> The CDx is the legacy VENTANA PATHWAY 4B5 assay, FDA-expanded September 2022 but never analytically validated for the IHC 1+ category, with acknowledged poor reproducibility at low expression (</w:t>
      </w:r>
      <w:hyperlink r:id="rId16">
        <w:r>
          <w:rPr>
            <w:color w:val="0563C1"/>
            <w:u w:val="single"/>
          </w:rPr>
          <w:t>PMID:42041700 ↗</w:t>
        </w:r>
      </w:hyperlink>
      <w:r>
        <w:t xml:space="preserve">). Interobserver agreement at the HER2-low boundary is only moderate (Fleiss' kappa 0.433; </w:t>
      </w:r>
      <w:hyperlink r:id="rId22">
        <w:r>
          <w:rPr>
            <w:color w:val="0563C1"/>
            <w:u w:val="single"/>
          </w:rPr>
          <w:t>PMID:41103138 ↗</w:t>
        </w:r>
      </w:hyperlink>
      <w:r>
        <w:t xml:space="preserve">), and deep-learning scoring still struggles most at the HER2-0/low boundary (HER2-0 F1 75.6% vs HER2-high 91.5%; </w:t>
      </w:r>
      <w:hyperlink r:id="rId15">
        <w:r>
          <w:rPr>
            <w:color w:val="0563C1"/>
            <w:u w:val="single"/>
          </w:rPr>
          <w:t>PMID:41446275 ↗</w:t>
        </w:r>
      </w:hyperlink>
      <w:r>
        <w:t>). HER2-ultralow is a recognized but un-standardized emerging category needing a refined scoring system (</w:t>
      </w:r>
      <w:hyperlink r:id="rId23">
        <w:r>
          <w:rPr>
            <w:color w:val="0563C1"/>
            <w:u w:val="single"/>
          </w:rPr>
          <w:t>PMID:41033579 ↗</w:t>
        </w:r>
      </w:hyperlink>
      <w:r>
        <w:t xml:space="preserve">, </w:t>
      </w:r>
      <w:hyperlink r:id="rId24">
        <w:r>
          <w:rPr>
            <w:color w:val="0563C1"/>
            <w:u w:val="single"/>
          </w:rPr>
          <w:t>PMID:40441445 ↗</w:t>
        </w:r>
      </w:hyperlink>
      <w:r>
        <w:t>).</w:t>
      </w:r>
    </w:p>
    <w:p>
      <w:r>
        <w:rPr>
          <w:b/>
        </w:rPr>
        <w:t>Population size.</w:t>
      </w:r>
      <w:r>
        <w:t xml:space="preserve"> The addressable population is large: in a HER2-negative surgical cohort, 74.9% (512/684) were HER2-low and enriched for HR-positivity (89.6% vs 75.6%; </w:t>
      </w:r>
      <w:hyperlink r:id="rId25">
        <w:r>
          <w:rPr>
            <w:color w:val="0563C1"/>
            <w:u w:val="single"/>
          </w:rPr>
          <w:t>PMID:37770874 ↗</w:t>
        </w:r>
      </w:hyperlink>
      <w:r>
        <w:t>), and real-world T-DXd cohorts run 57% HER2-low (</w:t>
      </w:r>
      <w:hyperlink r:id="rId17">
        <w:r>
          <w:rPr>
            <w:color w:val="0563C1"/>
            <w:u w:val="single"/>
          </w:rPr>
          <w:t>PMID:41101156 ↗</w:t>
        </w:r>
      </w:hyperlink>
      <w:r>
        <w:t>). Even with diagnostic imprecision, the population is commercially meaningful and expanding into HER2-ultralow.</w:t>
      </w:r>
    </w:p>
    <w:p>
      <w:r>
        <w:t>The decision therefore turns not on whether HER2-low is a valid ADC indication — it demonstrably is, with proven survival benefit — but on whether a *new* program can differentiate against an entrenched, expanding incumbent under a narrow safety window, a contested FTO position, and an unreliable CDx. A me-too topoisomerase-I ADC is a clear NO-GO; a differentiated asset (lower-ILD payload, CNS activity, biparatopic selectivity, or HER2-ultralow reach) is investable. On balance the target is validated and the modality is proven, but the engineering and competitive bars are specific and high — this is a conditional, differentiation-gated GO.</w:t>
      </w:r>
    </w:p>
    <w:p>
      <w:r>
        <w:t>Recommendation: GO</w:t>
      </w:r>
    </w:p>
    <w:p>
      <w:r>
        <w:t>Decision flippers:</w:t>
      </w:r>
    </w:p>
    <w:p>
      <w:pPr>
        <w:pStyle w:val="ListBullet"/>
      </w:pPr>
      <w:r>
        <w:rPr>
          <w:b/>
        </w:rPr>
        <w:t>Differentiated payload that materially reduces ILD</w:t>
      </w:r>
      <w:r>
        <w:t xml:space="preserve"> below the ~13% real-world rate (</w:t>
      </w:r>
      <w:hyperlink r:id="rId17">
        <w:r>
          <w:rPr>
            <w:color w:val="0563C1"/>
            <w:u w:val="single"/>
          </w:rPr>
          <w:t>PMID:41101156 ↗</w:t>
        </w:r>
      </w:hyperlink>
      <w:r>
        <w:t>) while retaining bystander activity — would convert a crowded space into a best-in-class opportunity; target a clinically meaningful ILD reduction (设计目标，非实测值 / design target, not a measured value).</w:t>
      </w:r>
    </w:p>
    <w:p>
      <w:pPr>
        <w:pStyle w:val="ListBullet"/>
      </w:pPr>
      <w:r>
        <w:rPr>
          <w:b/>
        </w:rPr>
        <w:t>CNS-penetrant design</w:t>
      </w:r>
      <w:r>
        <w:t xml:space="preserve"> addressing brain metastases (an active gap, </w:t>
      </w:r>
      <w:hyperlink r:id="rId20">
        <w:r>
          <w:rPr>
            <w:color w:val="0563C1"/>
            <w:u w:val="single"/>
          </w:rPr>
          <w:t>NCT07150208 ↗</w:t>
        </w:r>
      </w:hyperlink>
      <w:r>
        <w:t>), where differentiation versus T-DXd would create a defensible niche.</w:t>
      </w:r>
    </w:p>
    <w:p>
      <w:pPr>
        <w:pStyle w:val="ListBullet"/>
      </w:pPr>
      <w:r>
        <w:rPr>
          <w:b/>
        </w:rPr>
        <w:t>Biparatopic/site-specific format</w:t>
      </w:r>
      <w:r>
        <w:t xml:space="preserve"> exploiting the non-competitive domain II/IV epitopes (PDB 6OGE) to widen the compressed therapeutic index (safety sub-score 30/100; score_target).</w:t>
      </w:r>
    </w:p>
    <w:p>
      <w:pPr>
        <w:pStyle w:val="ListBullet"/>
      </w:pPr>
      <w:r>
        <w:rPr>
          <w:b/>
        </w:rPr>
        <w:t>CDx standardization / quantitative scoring</w:t>
      </w:r>
      <w:r>
        <w:t xml:space="preserve"> (digital pathology, AQUA) resolving the IHC 0/1+ reproducibility problem (</w:t>
      </w:r>
      <w:hyperlink r:id="rId16">
        <w:r>
          <w:rPr>
            <w:color w:val="0563C1"/>
            <w:u w:val="single"/>
          </w:rPr>
          <w:t>PMID:42041700 ↗</w:t>
        </w:r>
      </w:hyperlink>
      <w:r>
        <w:t xml:space="preserve">; </w:t>
      </w:r>
      <w:hyperlink r:id="rId22">
        <w:r>
          <w:rPr>
            <w:color w:val="0563C1"/>
            <w:u w:val="single"/>
          </w:rPr>
          <w:t>PMID:41103138 ↗</w:t>
        </w:r>
      </w:hyperlink>
      <w:r>
        <w:t>) — de-risks both label and commercial uptake.</w:t>
      </w:r>
    </w:p>
    <w:p>
      <w:pPr>
        <w:pStyle w:val="ListBullet"/>
      </w:pPr>
      <w:r>
        <w:rPr>
          <w:b/>
        </w:rPr>
        <w:t>Validated HER2-ultralow expansion</w:t>
      </w:r>
      <w:r>
        <w:t xml:space="preserve"> (</w:t>
      </w:r>
      <w:hyperlink r:id="rId23">
        <w:r>
          <w:rPr>
            <w:color w:val="0563C1"/>
            <w:u w:val="single"/>
          </w:rPr>
          <w:t>PMID:41033579 ↗</w:t>
        </w:r>
      </w:hyperlink>
      <w:r>
        <w:t>) — enlarges the population beyond the current HER2-low denominator and offers first-mover space if T-DXd's DESTINY-Breast06 coverage is incomplete.</w:t>
      </w:r>
    </w:p>
    <w:p>
      <w:pPr>
        <w:pStyle w:val="ListBullet"/>
      </w:pPr>
      <w:r>
        <w:rPr>
          <w:b/>
        </w:rPr>
        <w:t>Mechanistically non-overlapping payload</w:t>
      </w:r>
      <w:r>
        <w:t xml:space="preserve"> (MMAE, duocarmycin, novel class) reducing both FTO exposure to the Daiichi/AZ estate and cross-resistance to prior T-DXd.</w:t>
      </w:r>
    </w:p>
    <w:p>
      <w:r>
        <w:t>Risk register:</w:t>
      </w:r>
    </w:p>
    <w:p>
      <w:pPr>
        <w:pStyle w:val="ListBullet"/>
      </w:pPr>
      <w:r>
        <w:rPr>
          <w:b/>
        </w:rPr>
        <w:t>ILD/pneumonitis class liability</w:t>
      </w:r>
      <w:r>
        <w:t xml:space="preserve"> — 12-month cumulative incidence 13% (95% CI 7.2–20.6%) with 2% grade 5 (</w:t>
      </w:r>
      <w:hyperlink r:id="rId17">
        <w:r>
          <w:rPr>
            <w:color w:val="0563C1"/>
            <w:u w:val="single"/>
          </w:rPr>
          <w:t>PMID:41101156 ↗</w:t>
        </w:r>
      </w:hyperlink>
      <w:r>
        <w:t>); amplified by ubiquitous lung ERBB2 expression (HPA "detected in all") and bystander-permeable payload.</w:t>
      </w:r>
    </w:p>
    <w:p>
      <w:pPr>
        <w:pStyle w:val="ListBullet"/>
      </w:pPr>
      <w:r>
        <w:rPr>
          <w:b/>
        </w:rPr>
        <w:t>Compressed on-target safety window</w:t>
      </w:r>
      <w:r>
        <w:t xml:space="preserve"> — low tissue specificity, high normal-tissue expression (Nerve_Tibial 130.13, Skin 118.26, Esophagus_Mucosa 113.10 TPM; GTEx v8), safety sub-score 30/100 (score_target).</w:t>
      </w:r>
    </w:p>
    <w:p>
      <w:pPr>
        <w:pStyle w:val="ListBullet"/>
      </w:pPr>
      <w:r>
        <w:rPr>
          <w:b/>
        </w:rPr>
        <w:t>Crowded landscape / HIGH FTO risk</w:t>
      </w:r>
      <w:r>
        <w:t xml:space="preserve"> — entrenched T-DXd incumbent (</w:t>
      </w:r>
      <w:hyperlink r:id="rId11">
        <w:r>
          <w:rPr>
            <w:color w:val="0563C1"/>
            <w:u w:val="single"/>
          </w:rPr>
          <w:t>NCT03734029 ↗</w:t>
        </w:r>
      </w:hyperlink>
      <w:r>
        <w:t xml:space="preserve">; </w:t>
      </w:r>
      <w:hyperlink r:id="rId12">
        <w:r>
          <w:rPr>
            <w:color w:val="0563C1"/>
            <w:u w:val="single"/>
          </w:rPr>
          <w:t>NCT04494425 ↗</w:t>
        </w:r>
      </w:hyperlink>
      <w:r>
        <w:t>) plus a broad topoisomerase-I/cleavable-linker patent estate (general knowledge).</w:t>
      </w:r>
    </w:p>
    <w:p>
      <w:pPr>
        <w:pStyle w:val="ListBullet"/>
      </w:pPr>
      <w:r>
        <w:rPr>
          <w:b/>
        </w:rPr>
        <w:t>HER2-low scoring irreproducibility</w:t>
      </w:r>
      <w:r>
        <w:t xml:space="preserve"> — moderate interobserver agreement (kappa 0.433; </w:t>
      </w:r>
      <w:hyperlink r:id="rId22">
        <w:r>
          <w:rPr>
            <w:color w:val="0563C1"/>
            <w:u w:val="single"/>
          </w:rPr>
          <w:t>PMID:41103138 ↗</w:t>
        </w:r>
      </w:hyperlink>
      <w:r>
        <w:t>), un-validated 4B5 assay for IHC 1+ (</w:t>
      </w:r>
      <w:hyperlink r:id="rId16">
        <w:r>
          <w:rPr>
            <w:color w:val="0563C1"/>
            <w:u w:val="single"/>
          </w:rPr>
          <w:t>PMID:42041700 ↗</w:t>
        </w:r>
      </w:hyperlink>
      <w:r>
        <w:t>), worst classifier performance at the HER2-0/low boundary (</w:t>
      </w:r>
      <w:hyperlink r:id="rId15">
        <w:r>
          <w:rPr>
            <w:color w:val="0563C1"/>
            <w:u w:val="single"/>
          </w:rPr>
          <w:t>PMID:41446275 ↗</w:t>
        </w:r>
      </w:hyperlink>
      <w:r>
        <w:t>).</w:t>
      </w:r>
    </w:p>
    <w:p>
      <w:pPr>
        <w:pStyle w:val="ListBullet"/>
      </w:pPr>
      <w:r>
        <w:rPr>
          <w:b/>
        </w:rPr>
        <w:t>No true oncogenic dependency in HER2-low</w:t>
      </w:r>
      <w:r>
        <w:t xml:space="preserve"> — only 15% of lines dependent (depmap_fraction_dependent 0.15; score_target), pLI 0.25 (score_target); efficacy is wholly payload/bystander-driven, so any payload-resistance mechanism collapses the rationale.</w:t>
      </w:r>
    </w:p>
    <w:p>
      <w:pPr>
        <w:pStyle w:val="ListBullet"/>
      </w:pPr>
      <w:r>
        <w:rPr>
          <w:b/>
        </w:rPr>
        <w:t>Payload-class commoditization</w:t>
      </w:r>
      <w:r>
        <w:t xml:space="preserve"> — multiple topoisomerase-I and auristatin ADCs in development (clinical_precedent, </w:t>
      </w:r>
      <w:hyperlink r:id="rId13">
        <w:r>
          <w:rPr>
            <w:color w:val="0563C1"/>
            <w:u w:val="single"/>
          </w:rPr>
          <w:t>CHEMBL1824 ↗</w:t>
        </w:r>
      </w:hyperlink>
      <w:r>
        <w:t xml:space="preserve"> shows a crowded class), eroding pricing and differentiation for undifferentiated entrants.</w:t>
      </w:r>
    </w:p>
    <w:p>
      <w:pPr>
        <w:pStyle w:val="ListBullet"/>
      </w:pPr>
      <w:r>
        <w:rPr>
          <w:b/>
        </w:rPr>
        <w:t>Cardiac on-target toxicity</w:t>
      </w:r>
      <w:r>
        <w:t xml:space="preserve"> — mandatory LVEF monitoring across all HER2 agents given ubiquitous cardiac ERBB2 expression (HPA, </w:t>
      </w:r>
      <w:hyperlink r:id="rId10">
        <w:r>
          <w:rPr>
            <w:color w:val="0563C1"/>
            <w:u w:val="single"/>
          </w:rPr>
          <w:t>ENSG00000141736 ↗</w:t>
        </w:r>
      </w:hyperlink>
      <w:r>
        <w:t>).</w:t>
      </w:r>
    </w:p>
    <w:p>
      <w:r>
        <w:t>---</w:t>
      </w:r>
    </w:p>
    <w:p>
      <w:pPr>
        <w:pStyle w:val="Heading2"/>
      </w:pPr>
      <w:r>
        <w:t>Evidence Source Grading</w:t>
      </w:r>
    </w:p>
    <w:tbl>
      <w:tblPr>
        <w:tblStyle w:val="TableGrid"/>
        <w:tblW w:type="auto" w:w="0"/>
        <w:tblLook w:firstColumn="1" w:firstRow="1" w:lastColumn="0" w:lastRow="0" w:noHBand="0" w:noVBand="1" w:val="04A0"/>
      </w:tblPr>
      <w:tblGrid>
        <w:gridCol w:w="2880"/>
        <w:gridCol w:w="2880"/>
        <w:gridCol w:w="2880"/>
      </w:tblGrid>
      <w:tr>
        <w:tc>
          <w:tcPr>
            <w:tcW w:type="dxa" w:w="2880"/>
            <w:shd w:val="clear" w:fill="0F172A"/>
          </w:tcPr>
          <w:p>
            <w:r>
              <w:rPr>
                <w:b/>
                <w:color w:val="FFFFFF"/>
                <w:sz w:val="19"/>
              </w:rPr>
              <w:t>Tier</w:t>
            </w:r>
          </w:p>
        </w:tc>
        <w:tc>
          <w:tcPr>
            <w:tcW w:type="dxa" w:w="2880"/>
            <w:shd w:val="clear" w:fill="0F172A"/>
          </w:tcPr>
          <w:p>
            <w:r>
              <w:rPr>
                <w:b/>
                <w:color w:val="FFFFFF"/>
                <w:sz w:val="19"/>
              </w:rPr>
              <w:t>Type</w:t>
            </w:r>
          </w:p>
        </w:tc>
        <w:tc>
          <w:tcPr>
            <w:tcW w:type="dxa" w:w="2880"/>
            <w:shd w:val="clear" w:fill="0F172A"/>
          </w:tcPr>
          <w:p>
            <w:r>
              <w:rPr>
                <w:b/>
                <w:color w:val="FFFFFF"/>
                <w:sz w:val="19"/>
              </w:rPr>
              <w:t>Count</w:t>
            </w:r>
          </w:p>
        </w:tc>
      </w:tr>
      <w:tr>
        <w:tc>
          <w:tcPr>
            <w:tcW w:type="dxa" w:w="2880"/>
          </w:tcPr>
          <w:p>
            <w:r>
              <w:rPr>
                <w:sz w:val="20"/>
              </w:rPr>
              <w:t>T2</w:t>
            </w:r>
          </w:p>
        </w:tc>
        <w:tc>
          <w:tcPr>
            <w:tcW w:type="dxa" w:w="2880"/>
          </w:tcPr>
          <w:p>
            <w:r>
              <w:rPr>
                <w:sz w:val="20"/>
              </w:rPr>
              <w:t>Authoritative DB/top journal</w:t>
            </w:r>
          </w:p>
        </w:tc>
        <w:tc>
          <w:tcPr>
            <w:tcW w:type="dxa" w:w="2880"/>
          </w:tcPr>
          <w:p>
            <w:r>
              <w:rPr>
                <w:sz w:val="20"/>
              </w:rPr>
              <w:t>7</w:t>
            </w:r>
          </w:p>
        </w:tc>
      </w:tr>
      <w:tr>
        <w:tc>
          <w:tcPr>
            <w:tcW w:type="dxa" w:w="2880"/>
            <w:shd w:val="clear" w:fill="F1F5F9"/>
          </w:tcPr>
          <w:p>
            <w:r>
              <w:rPr>
                <w:sz w:val="20"/>
              </w:rPr>
              <w:t>T3</w:t>
            </w:r>
          </w:p>
        </w:tc>
        <w:tc>
          <w:tcPr>
            <w:tcW w:type="dxa" w:w="2880"/>
            <w:shd w:val="clear" w:fill="F1F5F9"/>
          </w:tcPr>
          <w:p>
            <w:r>
              <w:rPr>
                <w:sz w:val="20"/>
              </w:rPr>
              <w:t>Peer-reviewed</w:t>
            </w:r>
          </w:p>
        </w:tc>
        <w:tc>
          <w:tcPr>
            <w:tcW w:type="dxa" w:w="2880"/>
            <w:shd w:val="clear" w:fill="F1F5F9"/>
          </w:tcPr>
          <w:p>
            <w:r>
              <w:rPr>
                <w:sz w:val="20"/>
              </w:rPr>
              <w:t>8</w:t>
            </w:r>
          </w:p>
        </w:tc>
      </w:tr>
    </w:tbl>
    <w:p>
      <w:r>
        <w:t>---</w:t>
      </w:r>
    </w:p>
    <w:p>
      <w:pPr>
        <w:pStyle w:val="Heading2"/>
      </w:pPr>
      <w:r>
        <w:t>References</w:t>
      </w:r>
    </w:p>
    <w:p>
      <w:r>
        <w:t xml:space="preserve">[1] </w:t>
      </w:r>
      <w:hyperlink r:id="rId25">
        <w:r>
          <w:rPr>
            <w:color w:val="0563C1"/>
            <w:u w:val="single"/>
          </w:rPr>
          <w:t>37770874</w:t>
        </w:r>
      </w:hyperlink>
    </w:p>
    <w:p>
      <w:r>
        <w:t xml:space="preserve">[2] </w:t>
      </w:r>
      <w:hyperlink r:id="rId24">
        <w:r>
          <w:rPr>
            <w:color w:val="0563C1"/>
            <w:u w:val="single"/>
          </w:rPr>
          <w:t>40441445</w:t>
        </w:r>
      </w:hyperlink>
    </w:p>
    <w:p>
      <w:r>
        <w:t xml:space="preserve">[3] </w:t>
      </w:r>
      <w:hyperlink r:id="rId23">
        <w:r>
          <w:rPr>
            <w:color w:val="0563C1"/>
            <w:u w:val="single"/>
          </w:rPr>
          <w:t>41033579</w:t>
        </w:r>
      </w:hyperlink>
    </w:p>
    <w:p>
      <w:r>
        <w:t xml:space="preserve">[4] </w:t>
      </w:r>
      <w:hyperlink r:id="rId17">
        <w:r>
          <w:rPr>
            <w:color w:val="0563C1"/>
            <w:u w:val="single"/>
          </w:rPr>
          <w:t>41101156</w:t>
        </w:r>
      </w:hyperlink>
    </w:p>
    <w:p>
      <w:r>
        <w:t xml:space="preserve">[5] </w:t>
      </w:r>
      <w:hyperlink r:id="rId22">
        <w:r>
          <w:rPr>
            <w:color w:val="0563C1"/>
            <w:u w:val="single"/>
          </w:rPr>
          <w:t>41103138</w:t>
        </w:r>
      </w:hyperlink>
    </w:p>
    <w:p>
      <w:r>
        <w:t xml:space="preserve">[6] </w:t>
      </w:r>
      <w:hyperlink r:id="rId18">
        <w:r>
          <w:rPr>
            <w:color w:val="0563C1"/>
            <w:u w:val="single"/>
          </w:rPr>
          <w:t>41239655</w:t>
        </w:r>
      </w:hyperlink>
    </w:p>
    <w:p>
      <w:r>
        <w:t xml:space="preserve">[7] </w:t>
      </w:r>
      <w:hyperlink r:id="rId15">
        <w:r>
          <w:rPr>
            <w:color w:val="0563C1"/>
            <w:u w:val="single"/>
          </w:rPr>
          <w:t>41446275</w:t>
        </w:r>
      </w:hyperlink>
    </w:p>
    <w:p>
      <w:r>
        <w:t xml:space="preserve">[8] </w:t>
      </w:r>
      <w:hyperlink r:id="rId16">
        <w:r>
          <w:rPr>
            <w:color w:val="0563C1"/>
            <w:u w:val="single"/>
          </w:rPr>
          <w:t>42041700</w:t>
        </w:r>
      </w:hyperlink>
    </w:p>
    <w:p>
      <w:r>
        <w:t xml:space="preserve">[9] </w:t>
      </w:r>
      <w:hyperlink r:id="rId13">
        <w:r>
          <w:rPr>
            <w:color w:val="0563C1"/>
            <w:u w:val="single"/>
          </w:rPr>
          <w:t>CHEMBL1824</w:t>
        </w:r>
      </w:hyperlink>
    </w:p>
    <w:p>
      <w:r>
        <w:t xml:space="preserve">[10] </w:t>
      </w:r>
      <w:hyperlink r:id="rId10">
        <w:r>
          <w:rPr>
            <w:color w:val="0563C1"/>
            <w:u w:val="single"/>
          </w:rPr>
          <w:t>ENSG00000141736</w:t>
        </w:r>
      </w:hyperlink>
    </w:p>
    <w:p>
      <w:r>
        <w:t xml:space="preserve">[11] </w:t>
      </w:r>
      <w:hyperlink r:id="rId11">
        <w:r>
          <w:rPr>
            <w:color w:val="0563C1"/>
            <w:u w:val="single"/>
          </w:rPr>
          <w:t>NCT03734029</w:t>
        </w:r>
      </w:hyperlink>
    </w:p>
    <w:p>
      <w:r>
        <w:t xml:space="preserve">[12] </w:t>
      </w:r>
      <w:hyperlink r:id="rId14">
        <w:r>
          <w:rPr>
            <w:color w:val="0563C1"/>
            <w:u w:val="single"/>
          </w:rPr>
          <w:t>NCT04042701</w:t>
        </w:r>
      </w:hyperlink>
    </w:p>
    <w:p>
      <w:r>
        <w:t xml:space="preserve">[13] </w:t>
      </w:r>
      <w:hyperlink r:id="rId12">
        <w:r>
          <w:rPr>
            <w:color w:val="0563C1"/>
            <w:u w:val="single"/>
          </w:rPr>
          <w:t>NCT04494425</w:t>
        </w:r>
      </w:hyperlink>
    </w:p>
    <w:p>
      <w:r>
        <w:t xml:space="preserve">[14] </w:t>
      </w:r>
      <w:hyperlink r:id="rId21">
        <w:r>
          <w:rPr>
            <w:color w:val="0563C1"/>
            <w:u w:val="single"/>
          </w:rPr>
          <w:t>NCT04553770</w:t>
        </w:r>
      </w:hyperlink>
    </w:p>
    <w:p>
      <w:r>
        <w:t xml:space="preserve">[15] </w:t>
      </w:r>
      <w:hyperlink r:id="rId19">
        <w:r>
          <w:rPr>
            <w:color w:val="0563C1"/>
            <w:u w:val="single"/>
          </w:rPr>
          <w:t>NCT05945732</w:t>
        </w:r>
      </w:hyperlink>
    </w:p>
    <w:p>
      <w:r>
        <w:t xml:space="preserve">[16] </w:t>
      </w:r>
      <w:hyperlink r:id="rId20">
        <w:r>
          <w:rPr>
            <w:color w:val="0563C1"/>
            <w:u w:val="single"/>
          </w:rPr>
          <w:t>NCT07150208</w:t>
        </w:r>
      </w:hyperlink>
    </w:p>
    <w:p>
      <w:r>
        <w:t xml:space="preserve">[17] </w:t>
      </w:r>
      <w:hyperlink r:id="rId9">
        <w:r>
          <w:rPr>
            <w:color w:val="0563C1"/>
            <w:u w:val="single"/>
          </w:rPr>
          <w:t>P04626</w:t>
        </w:r>
      </w:hyperlink>
    </w:p>
    <w:p>
      <w:r>
        <w:br w:type="page"/>
      </w:r>
    </w:p>
    <w:p>
      <w:pPr>
        <w:pStyle w:val="Heading1"/>
      </w:pPr>
      <w:r>
        <w:t>Target Scorecard / 靶点打分图表</w:t>
      </w:r>
    </w:p>
    <w:p>
      <w:r>
        <w:rPr>
          <w:color w:val="525F6F"/>
          <w:sz w:val="18"/>
        </w:rPr>
        <w:t>Deterministic scores (0–100, higher = more favourable) computed from real data sources. Rank targets by the modality-specific score for the drug you are designing.</w:t>
      </w:r>
    </w:p>
    <w:tbl>
      <w:tblPr>
        <w:tblStyle w:val="LightGrid-Accent1"/>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shd w:val="clear" w:fill="0D9488"/>
          </w:tcPr>
          <w:p>
            <w:r>
              <w:rPr>
                <w:b/>
                <w:sz w:val="18"/>
              </w:rPr>
              <w:t>Target</w:t>
            </w:r>
          </w:p>
        </w:tc>
        <w:tc>
          <w:tcPr>
            <w:tcW w:type="dxa" w:w="1080"/>
            <w:shd w:val="clear" w:fill="0D9488"/>
          </w:tcPr>
          <w:p>
            <w:r>
              <w:rPr>
                <w:b/>
                <w:sz w:val="18"/>
              </w:rPr>
              <w:t>Overall</w:t>
            </w:r>
          </w:p>
        </w:tc>
        <w:tc>
          <w:tcPr>
            <w:tcW w:type="dxa" w:w="1080"/>
            <w:shd w:val="clear" w:fill="0D9488"/>
          </w:tcPr>
          <w:p>
            <w:r>
              <w:rPr>
                <w:b/>
                <w:sz w:val="18"/>
              </w:rPr>
              <w:t>Risk</w:t>
            </w:r>
          </w:p>
        </w:tc>
        <w:tc>
          <w:tcPr>
            <w:tcW w:type="dxa" w:w="1080"/>
            <w:shd w:val="clear" w:fill="0D9488"/>
          </w:tcPr>
          <w:p>
            <w:r>
              <w:rPr>
                <w:b/>
                <w:sz w:val="18"/>
              </w:rPr>
              <w:t>Antibody</w:t>
            </w:r>
          </w:p>
        </w:tc>
        <w:tc>
          <w:tcPr>
            <w:tcW w:type="dxa" w:w="1080"/>
            <w:shd w:val="clear" w:fill="0D9488"/>
          </w:tcPr>
          <w:p>
            <w:r>
              <w:rPr>
                <w:b/>
                <w:sz w:val="18"/>
              </w:rPr>
              <w:t>ADC</w:t>
            </w:r>
          </w:p>
        </w:tc>
        <w:tc>
          <w:tcPr>
            <w:tcW w:type="dxa" w:w="1080"/>
            <w:shd w:val="clear" w:fill="0D9488"/>
          </w:tcPr>
          <w:p>
            <w:r>
              <w:rPr>
                <w:b/>
                <w:sz w:val="18"/>
              </w:rPr>
              <w:t>TCE</w:t>
            </w:r>
          </w:p>
        </w:tc>
        <w:tc>
          <w:tcPr>
            <w:tcW w:type="dxa" w:w="1080"/>
            <w:shd w:val="clear" w:fill="0D9488"/>
          </w:tcPr>
          <w:p>
            <w:r>
              <w:rPr>
                <w:b/>
                <w:sz w:val="18"/>
              </w:rPr>
              <w:t>Degrader</w:t>
            </w:r>
          </w:p>
        </w:tc>
        <w:tc>
          <w:tcPr>
            <w:tcW w:type="dxa" w:w="1080"/>
            <w:shd w:val="clear" w:fill="0D9488"/>
          </w:tcPr>
          <w:p>
            <w:r>
              <w:rPr>
                <w:b/>
                <w:sz w:val="18"/>
              </w:rPr>
              <w:t>Small-mol</w:t>
            </w:r>
          </w:p>
        </w:tc>
      </w:tr>
      <w:tr>
        <w:tc>
          <w:tcPr>
            <w:tcW w:type="dxa" w:w="1080"/>
          </w:tcPr>
          <w:p>
            <w:r>
              <w:rPr>
                <w:sz w:val="18"/>
              </w:rPr>
              <w:t>ERBB2</w:t>
            </w:r>
          </w:p>
        </w:tc>
        <w:tc>
          <w:tcPr>
            <w:tcW w:type="dxa" w:w="1080"/>
          </w:tcPr>
          <w:p>
            <w:r>
              <w:rPr>
                <w:sz w:val="18"/>
              </w:rPr>
              <w:t>68.5</w:t>
            </w:r>
          </w:p>
        </w:tc>
        <w:tc>
          <w:tcPr>
            <w:tcW w:type="dxa" w:w="1080"/>
          </w:tcPr>
          <w:p>
            <w:r>
              <w:rPr>
                <w:sz w:val="18"/>
              </w:rPr>
              <w:t>Medium</w:t>
            </w:r>
          </w:p>
        </w:tc>
        <w:tc>
          <w:tcPr>
            <w:tcW w:type="dxa" w:w="1080"/>
          </w:tcPr>
          <w:p>
            <w:r>
              <w:rPr>
                <w:sz w:val="18"/>
              </w:rPr>
              <w:t>76.8</w:t>
            </w:r>
          </w:p>
        </w:tc>
        <w:tc>
          <w:tcPr>
            <w:tcW w:type="dxa" w:w="1080"/>
          </w:tcPr>
          <w:p>
            <w:r>
              <w:rPr>
                <w:sz w:val="18"/>
              </w:rPr>
              <w:t>70.2</w:t>
            </w:r>
          </w:p>
        </w:tc>
        <w:tc>
          <w:tcPr>
            <w:tcW w:type="dxa" w:w="1080"/>
          </w:tcPr>
          <w:p>
            <w:r>
              <w:rPr>
                <w:sz w:val="18"/>
              </w:rPr>
              <w:t>70.4</w:t>
            </w:r>
          </w:p>
        </w:tc>
        <w:tc>
          <w:tcPr>
            <w:tcW w:type="dxa" w:w="1080"/>
          </w:tcPr>
          <w:p>
            <w:r>
              <w:rPr>
                <w:sz w:val="18"/>
              </w:rPr>
              <w:t>74.7</w:t>
            </w:r>
          </w:p>
        </w:tc>
        <w:tc>
          <w:tcPr>
            <w:tcW w:type="dxa" w:w="1080"/>
          </w:tcPr>
          <w:p>
            <w:r>
              <w:rPr>
                <w:sz w:val="18"/>
              </w:rPr>
              <w:t>73.5</w:t>
            </w:r>
          </w:p>
        </w:tc>
      </w:tr>
    </w:tbl>
    <w:p>
      <w:r>
        <w:br w:type="page"/>
      </w:r>
    </w:p>
    <w:p>
      <w:pPr>
        <w:pStyle w:val="Heading1"/>
      </w:pPr>
      <w:r>
        <w:t>Methods &amp; Provenance</w:t>
      </w:r>
    </w:p>
    <w:p>
      <w:r>
        <w:t>This analysis was produced by Catalyst AI's autonomous agent. Every identifier in the summary is traceable to a tool call below. Catalyst AI is research decision support — not a clinical or regulatory determination.</w:t>
      </w:r>
    </w:p>
    <w:p>
      <w:pPr>
        <w:pStyle w:val="Heading2"/>
      </w:pPr>
      <w:r>
        <w:t>Tool calls</w:t>
      </w:r>
    </w:p>
    <w:tbl>
      <w:tblPr>
        <w:tblW w:type="auto" w:w="0"/>
        <w:tblLook w:firstColumn="1" w:firstRow="1" w:lastColumn="0" w:lastRow="0" w:noHBand="0" w:noVBand="1" w:val="04A0"/>
      </w:tblPr>
      <w:tblGrid>
        <w:gridCol w:w="2880"/>
        <w:gridCol w:w="2880"/>
        <w:gridCol w:w="2880"/>
      </w:tblGrid>
      <w:tr>
        <w:tc>
          <w:tcPr>
            <w:tcW w:type="dxa" w:w="2880"/>
            <w:shd w:val="clear" w:fill="0F172A"/>
          </w:tcPr>
          <w:p>
            <w:r>
              <w:rPr>
                <w:b/>
                <w:color w:val="FFFFFF"/>
                <w:sz w:val="18"/>
              </w:rPr>
              <w:t>#</w:t>
            </w:r>
          </w:p>
        </w:tc>
        <w:tc>
          <w:tcPr>
            <w:tcW w:type="dxa" w:w="2880"/>
            <w:shd w:val="clear" w:fill="0F172A"/>
          </w:tcPr>
          <w:p>
            <w:r>
              <w:rPr>
                <w:b/>
                <w:color w:val="FFFFFF"/>
                <w:sz w:val="18"/>
              </w:rPr>
              <w:t>Tool</w:t>
            </w:r>
          </w:p>
        </w:tc>
        <w:tc>
          <w:tcPr>
            <w:tcW w:type="dxa" w:w="2880"/>
            <w:shd w:val="clear" w:fill="0F172A"/>
          </w:tcPr>
          <w:p>
            <w:r>
              <w:rPr>
                <w:b/>
                <w:color w:val="FFFFFF"/>
                <w:sz w:val="18"/>
              </w:rPr>
              <w:t>Arguments</w:t>
            </w:r>
          </w:p>
        </w:tc>
      </w:tr>
      <w:tr>
        <w:tc>
          <w:tcPr>
            <w:tcW w:type="dxa" w:w="2880"/>
          </w:tcPr>
          <w:p>
            <w:r>
              <w:rPr>
                <w:sz w:val="18"/>
              </w:rPr>
              <w:t>1</w:t>
            </w:r>
          </w:p>
        </w:tc>
        <w:tc>
          <w:tcPr>
            <w:tcW w:type="dxa" w:w="2880"/>
          </w:tcPr>
          <w:p>
            <w:r>
              <w:rPr>
                <w:sz w:val="18"/>
              </w:rPr>
              <w:t>[覆盖预检索] uniprot_search</w:t>
            </w:r>
          </w:p>
        </w:tc>
        <w:tc>
          <w:tcPr>
            <w:tcW w:type="dxa" w:w="2880"/>
          </w:tcPr>
          <w:p>
            <w:r>
              <w:rPr>
                <w:sz w:val="18"/>
              </w:rPr>
              <w:t>query=ERBB2 human</w:t>
            </w:r>
          </w:p>
        </w:tc>
      </w:tr>
      <w:tr>
        <w:tc>
          <w:tcPr>
            <w:tcW w:type="dxa" w:w="2880"/>
            <w:shd w:val="clear" w:fill="F1F5F9"/>
          </w:tcPr>
          <w:p>
            <w:r>
              <w:rPr>
                <w:sz w:val="18"/>
              </w:rPr>
              <w:t>2</w:t>
            </w:r>
          </w:p>
        </w:tc>
        <w:tc>
          <w:tcPr>
            <w:tcW w:type="dxa" w:w="2880"/>
            <w:shd w:val="clear" w:fill="F1F5F9"/>
          </w:tcPr>
          <w:p>
            <w:r>
              <w:rPr>
                <w:sz w:val="18"/>
              </w:rPr>
              <w:t>[覆盖预检索] alphafold_structure</w:t>
            </w:r>
          </w:p>
        </w:tc>
        <w:tc>
          <w:tcPr>
            <w:tcW w:type="dxa" w:w="2880"/>
            <w:shd w:val="clear" w:fill="F1F5F9"/>
          </w:tcPr>
          <w:p>
            <w:r>
              <w:rPr>
                <w:sz w:val="18"/>
              </w:rPr>
              <w:t>accession=P04626</w:t>
            </w:r>
          </w:p>
        </w:tc>
      </w:tr>
      <w:tr>
        <w:tc>
          <w:tcPr>
            <w:tcW w:type="dxa" w:w="2880"/>
          </w:tcPr>
          <w:p>
            <w:r>
              <w:rPr>
                <w:sz w:val="18"/>
              </w:rPr>
              <w:t>3</w:t>
            </w:r>
          </w:p>
        </w:tc>
        <w:tc>
          <w:tcPr>
            <w:tcW w:type="dxa" w:w="2880"/>
          </w:tcPr>
          <w:p>
            <w:r>
              <w:rPr>
                <w:sz w:val="18"/>
              </w:rPr>
              <w:t>[覆盖预检索] pdb_search</w:t>
            </w:r>
          </w:p>
        </w:tc>
        <w:tc>
          <w:tcPr>
            <w:tcW w:type="dxa" w:w="2880"/>
          </w:tcPr>
          <w:p>
            <w:r>
              <w:rPr>
                <w:sz w:val="18"/>
              </w:rPr>
              <w:t>query=ERBB2 HER2 extracellular domain</w:t>
            </w:r>
          </w:p>
        </w:tc>
      </w:tr>
      <w:tr>
        <w:tc>
          <w:tcPr>
            <w:tcW w:type="dxa" w:w="2880"/>
            <w:shd w:val="clear" w:fill="F1F5F9"/>
          </w:tcPr>
          <w:p>
            <w:r>
              <w:rPr>
                <w:sz w:val="18"/>
              </w:rPr>
              <w:t>4</w:t>
            </w:r>
          </w:p>
        </w:tc>
        <w:tc>
          <w:tcPr>
            <w:tcW w:type="dxa" w:w="2880"/>
            <w:shd w:val="clear" w:fill="F1F5F9"/>
          </w:tcPr>
          <w:p>
            <w:r>
              <w:rPr>
                <w:sz w:val="18"/>
              </w:rPr>
              <w:t>[覆盖预检索] uniprot_search</w:t>
            </w:r>
          </w:p>
        </w:tc>
        <w:tc>
          <w:tcPr>
            <w:tcW w:type="dxa" w:w="2880"/>
            <w:shd w:val="clear" w:fill="F1F5F9"/>
          </w:tcPr>
          <w:p>
            <w:r>
              <w:rPr>
                <w:sz w:val="18"/>
              </w:rPr>
              <w:t>query=ENGLISH human gene</w:t>
            </w:r>
          </w:p>
        </w:tc>
      </w:tr>
      <w:tr>
        <w:tc>
          <w:tcPr>
            <w:tcW w:type="dxa" w:w="2880"/>
          </w:tcPr>
          <w:p>
            <w:r>
              <w:rPr>
                <w:sz w:val="18"/>
              </w:rPr>
              <w:t>5</w:t>
            </w:r>
          </w:p>
        </w:tc>
        <w:tc>
          <w:tcPr>
            <w:tcW w:type="dxa" w:w="2880"/>
          </w:tcPr>
          <w:p>
            <w:r>
              <w:rPr>
                <w:sz w:val="18"/>
              </w:rPr>
              <w:t>[覆盖预检索] uniprot_search</w:t>
            </w:r>
          </w:p>
        </w:tc>
        <w:tc>
          <w:tcPr>
            <w:tcW w:type="dxa" w:w="2880"/>
          </w:tcPr>
          <w:p>
            <w:r>
              <w:rPr>
                <w:sz w:val="18"/>
              </w:rPr>
              <w:t>query=LOW human gene symbol</w:t>
            </w:r>
          </w:p>
        </w:tc>
      </w:tr>
      <w:tr>
        <w:tc>
          <w:tcPr>
            <w:tcW w:type="dxa" w:w="2880"/>
            <w:shd w:val="clear" w:fill="F1F5F9"/>
          </w:tcPr>
          <w:p>
            <w:r>
              <w:rPr>
                <w:sz w:val="18"/>
              </w:rPr>
              <w:t>6</w:t>
            </w:r>
          </w:p>
        </w:tc>
        <w:tc>
          <w:tcPr>
            <w:tcW w:type="dxa" w:w="2880"/>
            <w:shd w:val="clear" w:fill="F1F5F9"/>
          </w:tcPr>
          <w:p>
            <w:r>
              <w:rPr>
                <w:sz w:val="18"/>
              </w:rPr>
              <w:t>[覆盖预检索] uniprot_search</w:t>
            </w:r>
          </w:p>
        </w:tc>
        <w:tc>
          <w:tcPr>
            <w:tcW w:type="dxa" w:w="2880"/>
            <w:shd w:val="clear" w:fill="F1F5F9"/>
          </w:tcPr>
          <w:p>
            <w:r>
              <w:rPr>
                <w:sz w:val="18"/>
              </w:rPr>
              <w:t>query=OWN human gene symbol</w:t>
            </w:r>
          </w:p>
        </w:tc>
      </w:tr>
      <w:tr>
        <w:tc>
          <w:tcPr>
            <w:tcW w:type="dxa" w:w="2880"/>
          </w:tcPr>
          <w:p>
            <w:r>
              <w:rPr>
                <w:sz w:val="18"/>
              </w:rPr>
              <w:t>7</w:t>
            </w:r>
          </w:p>
        </w:tc>
        <w:tc>
          <w:tcPr>
            <w:tcW w:type="dxa" w:w="2880"/>
          </w:tcPr>
          <w:p>
            <w:r>
              <w:rPr>
                <w:sz w:val="18"/>
              </w:rPr>
              <w:t>[覆盖预检索] uniprot_search</w:t>
            </w:r>
          </w:p>
        </w:tc>
        <w:tc>
          <w:tcPr>
            <w:tcW w:type="dxa" w:w="2880"/>
          </w:tcPr>
          <w:p>
            <w:r>
              <w:rPr>
                <w:sz w:val="18"/>
              </w:rPr>
              <w:t>query=LINE human gene</w:t>
            </w:r>
          </w:p>
        </w:tc>
      </w:tr>
      <w:tr>
        <w:tc>
          <w:tcPr>
            <w:tcW w:type="dxa" w:w="2880"/>
            <w:shd w:val="clear" w:fill="F1F5F9"/>
          </w:tcPr>
          <w:p>
            <w:r>
              <w:rPr>
                <w:sz w:val="18"/>
              </w:rPr>
              <w:t>8</w:t>
            </w:r>
          </w:p>
        </w:tc>
        <w:tc>
          <w:tcPr>
            <w:tcW w:type="dxa" w:w="2880"/>
            <w:shd w:val="clear" w:fill="F1F5F9"/>
          </w:tcPr>
          <w:p>
            <w:r>
              <w:rPr>
                <w:sz w:val="18"/>
              </w:rPr>
              <w:t>[覆盖预检索] uniprot_search</w:t>
            </w:r>
          </w:p>
        </w:tc>
        <w:tc>
          <w:tcPr>
            <w:tcW w:type="dxa" w:w="2880"/>
            <w:shd w:val="clear" w:fill="F1F5F9"/>
          </w:tcPr>
          <w:p>
            <w:r>
              <w:rPr>
                <w:sz w:val="18"/>
              </w:rPr>
              <w:t>query=WATCH human gene symbol</w:t>
            </w:r>
          </w:p>
        </w:tc>
      </w:tr>
      <w:tr>
        <w:tc>
          <w:tcPr>
            <w:tcW w:type="dxa" w:w="2880"/>
          </w:tcPr>
          <w:p>
            <w:r>
              <w:rPr>
                <w:sz w:val="18"/>
              </w:rPr>
              <w:t>9</w:t>
            </w:r>
          </w:p>
        </w:tc>
        <w:tc>
          <w:tcPr>
            <w:tcW w:type="dxa" w:w="2880"/>
          </w:tcPr>
          <w:p>
            <w:r>
              <w:rPr>
                <w:sz w:val="18"/>
              </w:rPr>
              <w:t>[覆盖预检索] uniprot_search</w:t>
            </w:r>
          </w:p>
        </w:tc>
        <w:tc>
          <w:tcPr>
            <w:tcW w:type="dxa" w:w="2880"/>
          </w:tcPr>
          <w:p>
            <w:r>
              <w:rPr>
                <w:sz w:val="18"/>
              </w:rPr>
              <w:t>query=ENGLISH human gene symbol</w:t>
            </w:r>
          </w:p>
        </w:tc>
      </w:tr>
      <w:tr>
        <w:tc>
          <w:tcPr>
            <w:tcW w:type="dxa" w:w="2880"/>
            <w:shd w:val="clear" w:fill="F1F5F9"/>
          </w:tcPr>
          <w:p>
            <w:r>
              <w:rPr>
                <w:sz w:val="18"/>
              </w:rPr>
              <w:t>10</w:t>
            </w:r>
          </w:p>
        </w:tc>
        <w:tc>
          <w:tcPr>
            <w:tcW w:type="dxa" w:w="2880"/>
            <w:shd w:val="clear" w:fill="F1F5F9"/>
          </w:tcPr>
          <w:p>
            <w:r>
              <w:rPr>
                <w:sz w:val="18"/>
              </w:rPr>
              <w:t>[覆盖预检索] uniprot_search</w:t>
            </w:r>
          </w:p>
        </w:tc>
        <w:tc>
          <w:tcPr>
            <w:tcW w:type="dxa" w:w="2880"/>
            <w:shd w:val="clear" w:fill="F1F5F9"/>
          </w:tcPr>
          <w:p>
            <w:r>
              <w:rPr>
                <w:sz w:val="18"/>
              </w:rPr>
              <w:t>query=HER2 human</w:t>
            </w:r>
          </w:p>
        </w:tc>
      </w:tr>
      <w:tr>
        <w:tc>
          <w:tcPr>
            <w:tcW w:type="dxa" w:w="2880"/>
          </w:tcPr>
          <w:p>
            <w:r>
              <w:rPr>
                <w:sz w:val="18"/>
              </w:rPr>
              <w:t>11</w:t>
            </w:r>
          </w:p>
        </w:tc>
        <w:tc>
          <w:tcPr>
            <w:tcW w:type="dxa" w:w="2880"/>
          </w:tcPr>
          <w:p>
            <w:r>
              <w:rPr>
                <w:sz w:val="18"/>
              </w:rPr>
              <w:t>[覆盖预检索] alphafold_structure</w:t>
            </w:r>
          </w:p>
        </w:tc>
        <w:tc>
          <w:tcPr>
            <w:tcW w:type="dxa" w:w="2880"/>
          </w:tcPr>
          <w:p>
            <w:r>
              <w:rPr>
                <w:sz w:val="18"/>
              </w:rPr>
              <w:t>accession=P04626</w:t>
            </w:r>
          </w:p>
        </w:tc>
      </w:tr>
      <w:tr>
        <w:tc>
          <w:tcPr>
            <w:tcW w:type="dxa" w:w="2880"/>
            <w:shd w:val="clear" w:fill="F1F5F9"/>
          </w:tcPr>
          <w:p>
            <w:r>
              <w:rPr>
                <w:sz w:val="18"/>
              </w:rPr>
              <w:t>12</w:t>
            </w:r>
          </w:p>
        </w:tc>
        <w:tc>
          <w:tcPr>
            <w:tcW w:type="dxa" w:w="2880"/>
            <w:shd w:val="clear" w:fill="F1F5F9"/>
          </w:tcPr>
          <w:p>
            <w:r>
              <w:rPr>
                <w:sz w:val="18"/>
              </w:rPr>
              <w:t>[覆盖预检索] pdb_search</w:t>
            </w:r>
          </w:p>
        </w:tc>
        <w:tc>
          <w:tcPr>
            <w:tcW w:type="dxa" w:w="2880"/>
            <w:shd w:val="clear" w:fill="F1F5F9"/>
          </w:tcPr>
          <w:p>
            <w:r>
              <w:rPr>
                <w:sz w:val="18"/>
              </w:rPr>
              <w:t>query=ERBB2 HER2 kinase domain</w:t>
            </w:r>
          </w:p>
        </w:tc>
      </w:tr>
      <w:tr>
        <w:tc>
          <w:tcPr>
            <w:tcW w:type="dxa" w:w="2880"/>
          </w:tcPr>
          <w:p>
            <w:r>
              <w:rPr>
                <w:sz w:val="18"/>
              </w:rPr>
              <w:t>13</w:t>
            </w:r>
          </w:p>
        </w:tc>
        <w:tc>
          <w:tcPr>
            <w:tcW w:type="dxa" w:w="2880"/>
          </w:tcPr>
          <w:p>
            <w:r>
              <w:rPr>
                <w:sz w:val="18"/>
              </w:rPr>
              <w:t>[Target Identity, Structu] todo_write</w:t>
            </w:r>
          </w:p>
        </w:tc>
        <w:tc>
          <w:tcPr>
            <w:tcW w:type="dxa" w:w="2880"/>
          </w:tcPr>
          <w:p>
            <w:r>
              <w:rPr>
                <w:sz w:val="18"/>
              </w:rPr>
              <w:t xml:space="preserve">todos=[{'content': '1. Confirm UniProt P04626 </w:t>
            </w:r>
          </w:p>
        </w:tc>
      </w:tr>
      <w:tr>
        <w:tc>
          <w:tcPr>
            <w:tcW w:type="dxa" w:w="2880"/>
            <w:shd w:val="clear" w:fill="F1F5F9"/>
          </w:tcPr>
          <w:p>
            <w:r>
              <w:rPr>
                <w:sz w:val="18"/>
              </w:rPr>
              <w:t>14</w:t>
            </w:r>
          </w:p>
        </w:tc>
        <w:tc>
          <w:tcPr>
            <w:tcW w:type="dxa" w:w="2880"/>
            <w:shd w:val="clear" w:fill="F1F5F9"/>
          </w:tcPr>
          <w:p>
            <w:r>
              <w:rPr>
                <w:sz w:val="18"/>
              </w:rPr>
              <w:t>[Target Identity, Structu] alphafold_structure</w:t>
            </w:r>
          </w:p>
        </w:tc>
        <w:tc>
          <w:tcPr>
            <w:tcW w:type="dxa" w:w="2880"/>
            <w:shd w:val="clear" w:fill="F1F5F9"/>
          </w:tcPr>
          <w:p>
            <w:r>
              <w:rPr>
                <w:sz w:val="18"/>
              </w:rPr>
              <w:t>accession=P04626</w:t>
            </w:r>
          </w:p>
        </w:tc>
      </w:tr>
      <w:tr>
        <w:tc>
          <w:tcPr>
            <w:tcW w:type="dxa" w:w="2880"/>
          </w:tcPr>
          <w:p>
            <w:r>
              <w:rPr>
                <w:sz w:val="18"/>
              </w:rPr>
              <w:t>15</w:t>
            </w:r>
          </w:p>
        </w:tc>
        <w:tc>
          <w:tcPr>
            <w:tcW w:type="dxa" w:w="2880"/>
          </w:tcPr>
          <w:p>
            <w:r>
              <w:rPr>
                <w:sz w:val="18"/>
              </w:rPr>
              <w:t>[Target Identity, Structu] pdb_search</w:t>
            </w:r>
          </w:p>
        </w:tc>
        <w:tc>
          <w:tcPr>
            <w:tcW w:type="dxa" w:w="2880"/>
          </w:tcPr>
          <w:p>
            <w:r>
              <w:rPr>
                <w:sz w:val="18"/>
              </w:rPr>
              <w:t>query=HER2 ERBB2 extracellular domain trastuzu</w:t>
            </w:r>
          </w:p>
        </w:tc>
      </w:tr>
      <w:tr>
        <w:tc>
          <w:tcPr>
            <w:tcW w:type="dxa" w:w="2880"/>
            <w:shd w:val="clear" w:fill="F1F5F9"/>
          </w:tcPr>
          <w:p>
            <w:r>
              <w:rPr>
                <w:sz w:val="18"/>
              </w:rPr>
              <w:t>16</w:t>
            </w:r>
          </w:p>
        </w:tc>
        <w:tc>
          <w:tcPr>
            <w:tcW w:type="dxa" w:w="2880"/>
            <w:shd w:val="clear" w:fill="F1F5F9"/>
          </w:tcPr>
          <w:p>
            <w:r>
              <w:rPr>
                <w:sz w:val="18"/>
              </w:rPr>
              <w:t>[Target Identity, Structu] todo_write</w:t>
            </w:r>
          </w:p>
        </w:tc>
        <w:tc>
          <w:tcPr>
            <w:tcW w:type="dxa" w:w="2880"/>
            <w:shd w:val="clear" w:fill="F1F5F9"/>
          </w:tcPr>
          <w:p>
            <w:r>
              <w:rPr>
                <w:sz w:val="18"/>
              </w:rPr>
              <w:t>todos=[{'content': 'Confirm UniProt P04626 can</w:t>
            </w:r>
          </w:p>
        </w:tc>
      </w:tr>
      <w:tr>
        <w:tc>
          <w:tcPr>
            <w:tcW w:type="dxa" w:w="2880"/>
          </w:tcPr>
          <w:p>
            <w:r>
              <w:rPr>
                <w:sz w:val="18"/>
              </w:rPr>
              <w:t>17</w:t>
            </w:r>
          </w:p>
        </w:tc>
        <w:tc>
          <w:tcPr>
            <w:tcW w:type="dxa" w:w="2880"/>
          </w:tcPr>
          <w:p>
            <w:r>
              <w:rPr>
                <w:sz w:val="18"/>
              </w:rPr>
              <w:t>[Target Identity, Structu] uniprot_search</w:t>
            </w:r>
          </w:p>
        </w:tc>
        <w:tc>
          <w:tcPr>
            <w:tcW w:type="dxa" w:w="2880"/>
          </w:tcPr>
          <w:p>
            <w:r>
              <w:rPr>
                <w:sz w:val="18"/>
              </w:rPr>
              <w:t>query=ERBB2 human HER2</w:t>
            </w:r>
          </w:p>
        </w:tc>
      </w:tr>
      <w:tr>
        <w:tc>
          <w:tcPr>
            <w:tcW w:type="dxa" w:w="2880"/>
            <w:shd w:val="clear" w:fill="F1F5F9"/>
          </w:tcPr>
          <w:p>
            <w:r>
              <w:rPr>
                <w:sz w:val="18"/>
              </w:rPr>
              <w:t>18</w:t>
            </w:r>
          </w:p>
        </w:tc>
        <w:tc>
          <w:tcPr>
            <w:tcW w:type="dxa" w:w="2880"/>
            <w:shd w:val="clear" w:fill="F1F5F9"/>
          </w:tcPr>
          <w:p>
            <w:r>
              <w:rPr>
                <w:sz w:val="18"/>
              </w:rPr>
              <w:t>[Target Identity, Structu] pdb_search</w:t>
            </w:r>
          </w:p>
        </w:tc>
        <w:tc>
          <w:tcPr>
            <w:tcW w:type="dxa" w:w="2880"/>
            <w:shd w:val="clear" w:fill="F1F5F9"/>
          </w:tcPr>
          <w:p>
            <w:r>
              <w:rPr>
                <w:sz w:val="18"/>
              </w:rPr>
              <w:t xml:space="preserve">query=ERBB2 HER2 extracellular domain crystal </w:t>
            </w:r>
          </w:p>
        </w:tc>
      </w:tr>
      <w:tr>
        <w:tc>
          <w:tcPr>
            <w:tcW w:type="dxa" w:w="2880"/>
          </w:tcPr>
          <w:p>
            <w:r>
              <w:rPr>
                <w:sz w:val="18"/>
              </w:rPr>
              <w:t>19</w:t>
            </w:r>
          </w:p>
        </w:tc>
        <w:tc>
          <w:tcPr>
            <w:tcW w:type="dxa" w:w="2880"/>
          </w:tcPr>
          <w:p>
            <w:r>
              <w:rPr>
                <w:sz w:val="18"/>
              </w:rPr>
              <w:t>[Target Identity, Structu] pdb_search</w:t>
            </w:r>
          </w:p>
        </w:tc>
        <w:tc>
          <w:tcPr>
            <w:tcW w:type="dxa" w:w="2880"/>
          </w:tcPr>
          <w:p>
            <w:r>
              <w:rPr>
                <w:sz w:val="18"/>
              </w:rPr>
              <w:t>query=HER2 pertuzumab domain II epitope struct</w:t>
            </w:r>
          </w:p>
        </w:tc>
      </w:tr>
      <w:tr>
        <w:tc>
          <w:tcPr>
            <w:tcW w:type="dxa" w:w="2880"/>
            <w:shd w:val="clear" w:fill="F1F5F9"/>
          </w:tcPr>
          <w:p>
            <w:r>
              <w:rPr>
                <w:sz w:val="18"/>
              </w:rPr>
              <w:t>20</w:t>
            </w:r>
          </w:p>
        </w:tc>
        <w:tc>
          <w:tcPr>
            <w:tcW w:type="dxa" w:w="2880"/>
            <w:shd w:val="clear" w:fill="F1F5F9"/>
          </w:tcPr>
          <w:p>
            <w:r>
              <w:rPr>
                <w:sz w:val="18"/>
              </w:rPr>
              <w:t>[Target Identity, Structu] pdb_search</w:t>
            </w:r>
          </w:p>
        </w:tc>
        <w:tc>
          <w:tcPr>
            <w:tcW w:type="dxa" w:w="2880"/>
            <w:shd w:val="clear" w:fill="F1F5F9"/>
          </w:tcPr>
          <w:p>
            <w:r>
              <w:rPr>
                <w:sz w:val="18"/>
              </w:rPr>
              <w:t>query=ERBB2 trastuzumab pertuzumab complex cry</w:t>
            </w:r>
          </w:p>
        </w:tc>
      </w:tr>
      <w:tr>
        <w:tc>
          <w:tcPr>
            <w:tcW w:type="dxa" w:w="2880"/>
          </w:tcPr>
          <w:p>
            <w:r>
              <w:rPr>
                <w:sz w:val="18"/>
              </w:rPr>
              <w:t>21</w:t>
            </w:r>
          </w:p>
        </w:tc>
        <w:tc>
          <w:tcPr>
            <w:tcW w:type="dxa" w:w="2880"/>
          </w:tcPr>
          <w:p>
            <w:r>
              <w:rPr>
                <w:sz w:val="18"/>
              </w:rPr>
              <w:t>[Target Identity, Structu] pdb_search</w:t>
            </w:r>
          </w:p>
        </w:tc>
        <w:tc>
          <w:tcPr>
            <w:tcW w:type="dxa" w:w="2880"/>
          </w:tcPr>
          <w:p>
            <w:r>
              <w:rPr>
                <w:sz w:val="18"/>
              </w:rPr>
              <w:t>query=HER2 antibody Fab complex domain IV epit</w:t>
            </w:r>
          </w:p>
        </w:tc>
      </w:tr>
      <w:tr>
        <w:tc>
          <w:tcPr>
            <w:tcW w:type="dxa" w:w="2880"/>
            <w:shd w:val="clear" w:fill="F1F5F9"/>
          </w:tcPr>
          <w:p>
            <w:r>
              <w:rPr>
                <w:sz w:val="18"/>
              </w:rPr>
              <w:t>22</w:t>
            </w:r>
          </w:p>
        </w:tc>
        <w:tc>
          <w:tcPr>
            <w:tcW w:type="dxa" w:w="2880"/>
            <w:shd w:val="clear" w:fill="F1F5F9"/>
          </w:tcPr>
          <w:p>
            <w:r>
              <w:rPr>
                <w:sz w:val="18"/>
              </w:rPr>
              <w:t>[Target Identity, Structu] pdb_search</w:t>
            </w:r>
          </w:p>
        </w:tc>
        <w:tc>
          <w:tcPr>
            <w:tcW w:type="dxa" w:w="2880"/>
            <w:shd w:val="clear" w:fill="F1F5F9"/>
          </w:tcPr>
          <w:p>
            <w:r>
              <w:rPr>
                <w:sz w:val="18"/>
              </w:rPr>
              <w:t xml:space="preserve">query=ERBB2 pertuzumab domain II dimerization </w:t>
            </w:r>
          </w:p>
        </w:tc>
      </w:tr>
      <w:tr>
        <w:tc>
          <w:tcPr>
            <w:tcW w:type="dxa" w:w="2880"/>
          </w:tcPr>
          <w:p>
            <w:r>
              <w:rPr>
                <w:sz w:val="18"/>
              </w:rPr>
              <w:t>23</w:t>
            </w:r>
          </w:p>
        </w:tc>
        <w:tc>
          <w:tcPr>
            <w:tcW w:type="dxa" w:w="2880"/>
          </w:tcPr>
          <w:p>
            <w:r>
              <w:rPr>
                <w:sz w:val="18"/>
              </w:rPr>
              <w:t>[Target Identity, Structu] pdb_search</w:t>
            </w:r>
          </w:p>
        </w:tc>
        <w:tc>
          <w:tcPr>
            <w:tcW w:type="dxa" w:w="2880"/>
          </w:tcPr>
          <w:p>
            <w:r>
              <w:rPr>
                <w:sz w:val="18"/>
              </w:rPr>
              <w:t>query=HER2 trastuzumab pertuzumab extracellula</w:t>
            </w:r>
          </w:p>
        </w:tc>
      </w:tr>
      <w:tr>
        <w:tc>
          <w:tcPr>
            <w:tcW w:type="dxa" w:w="2880"/>
            <w:shd w:val="clear" w:fill="F1F5F9"/>
          </w:tcPr>
          <w:p>
            <w:r>
              <w:rPr>
                <w:sz w:val="18"/>
              </w:rPr>
              <w:t>24</w:t>
            </w:r>
          </w:p>
        </w:tc>
        <w:tc>
          <w:tcPr>
            <w:tcW w:type="dxa" w:w="2880"/>
            <w:shd w:val="clear" w:fill="F1F5F9"/>
          </w:tcPr>
          <w:p>
            <w:r>
              <w:rPr>
                <w:sz w:val="18"/>
              </w:rPr>
              <w:t>[Target Identity, Structu] pdb_search</w:t>
            </w:r>
          </w:p>
        </w:tc>
        <w:tc>
          <w:tcPr>
            <w:tcW w:type="dxa" w:w="2880"/>
            <w:shd w:val="clear" w:fill="F1F5F9"/>
          </w:tcPr>
          <w:p>
            <w:r>
              <w:rPr>
                <w:sz w:val="18"/>
              </w:rPr>
              <w:t>query=ERBB2 HER2 kinase domain inhibitor lapat</w:t>
            </w:r>
          </w:p>
        </w:tc>
      </w:tr>
      <w:tr>
        <w:tc>
          <w:tcPr>
            <w:tcW w:type="dxa" w:w="2880"/>
          </w:tcPr>
          <w:p>
            <w:r>
              <w:rPr>
                <w:sz w:val="18"/>
              </w:rPr>
              <w:t>25</w:t>
            </w:r>
          </w:p>
        </w:tc>
        <w:tc>
          <w:tcPr>
            <w:tcW w:type="dxa" w:w="2880"/>
          </w:tcPr>
          <w:p>
            <w:r>
              <w:rPr>
                <w:sz w:val="18"/>
              </w:rPr>
              <w:t>[Disease Association and ] todo_write</w:t>
            </w:r>
          </w:p>
        </w:tc>
        <w:tc>
          <w:tcPr>
            <w:tcW w:type="dxa" w:w="2880"/>
          </w:tcPr>
          <w:p>
            <w:r>
              <w:rPr>
                <w:sz w:val="18"/>
              </w:rPr>
              <w:t>todos=[{'content': 'Run Open Targets for ERBB2</w:t>
            </w:r>
          </w:p>
        </w:tc>
      </w:tr>
      <w:tr>
        <w:tc>
          <w:tcPr>
            <w:tcW w:type="dxa" w:w="2880"/>
            <w:shd w:val="clear" w:fill="F1F5F9"/>
          </w:tcPr>
          <w:p>
            <w:r>
              <w:rPr>
                <w:sz w:val="18"/>
              </w:rPr>
              <w:t>26</w:t>
            </w:r>
          </w:p>
        </w:tc>
        <w:tc>
          <w:tcPr>
            <w:tcW w:type="dxa" w:w="2880"/>
            <w:shd w:val="clear" w:fill="F1F5F9"/>
          </w:tcPr>
          <w:p>
            <w:r>
              <w:rPr>
                <w:sz w:val="18"/>
              </w:rPr>
              <w:t>[Disease Association and ] opentargets_target</w:t>
            </w:r>
          </w:p>
        </w:tc>
        <w:tc>
          <w:tcPr>
            <w:tcW w:type="dxa" w:w="2880"/>
            <w:shd w:val="clear" w:fill="F1F5F9"/>
          </w:tcPr>
          <w:p>
            <w:r>
              <w:rPr>
                <w:sz w:val="18"/>
              </w:rPr>
              <w:t>symbol=ERBB2</w:t>
            </w:r>
          </w:p>
        </w:tc>
      </w:tr>
      <w:tr>
        <w:tc>
          <w:tcPr>
            <w:tcW w:type="dxa" w:w="2880"/>
          </w:tcPr>
          <w:p>
            <w:r>
              <w:rPr>
                <w:sz w:val="18"/>
              </w:rPr>
              <w:t>27</w:t>
            </w:r>
          </w:p>
        </w:tc>
        <w:tc>
          <w:tcPr>
            <w:tcW w:type="dxa" w:w="2880"/>
          </w:tcPr>
          <w:p>
            <w:r>
              <w:rPr>
                <w:sz w:val="18"/>
              </w:rPr>
              <w:t>[Disease Association and ] cbioportal_genomics</w:t>
            </w:r>
          </w:p>
        </w:tc>
        <w:tc>
          <w:tcPr>
            <w:tcW w:type="dxa" w:w="2880"/>
          </w:tcPr>
          <w:p>
            <w:r>
              <w:rPr>
                <w:sz w:val="18"/>
              </w:rPr>
              <w:t>gene=ERBB2</w:t>
            </w:r>
          </w:p>
        </w:tc>
      </w:tr>
      <w:tr>
        <w:tc>
          <w:tcPr>
            <w:tcW w:type="dxa" w:w="2880"/>
            <w:shd w:val="clear" w:fill="F1F5F9"/>
          </w:tcPr>
          <w:p>
            <w:r>
              <w:rPr>
                <w:sz w:val="18"/>
              </w:rPr>
              <w:t>28</w:t>
            </w:r>
          </w:p>
        </w:tc>
        <w:tc>
          <w:tcPr>
            <w:tcW w:type="dxa" w:w="2880"/>
            <w:shd w:val="clear" w:fill="F1F5F9"/>
          </w:tcPr>
          <w:p>
            <w:r>
              <w:rPr>
                <w:sz w:val="18"/>
              </w:rPr>
              <w:t>[Disease Association and ] opentargets_target</w:t>
            </w:r>
          </w:p>
        </w:tc>
        <w:tc>
          <w:tcPr>
            <w:tcW w:type="dxa" w:w="2880"/>
            <w:shd w:val="clear" w:fill="F1F5F9"/>
          </w:tcPr>
          <w:p>
            <w:r>
              <w:rPr>
                <w:sz w:val="18"/>
              </w:rPr>
              <w:t>symbol=ERBB2</w:t>
            </w:r>
          </w:p>
        </w:tc>
      </w:tr>
      <w:tr>
        <w:tc>
          <w:tcPr>
            <w:tcW w:type="dxa" w:w="2880"/>
          </w:tcPr>
          <w:p>
            <w:r>
              <w:rPr>
                <w:sz w:val="18"/>
              </w:rPr>
              <w:t>29</w:t>
            </w:r>
          </w:p>
        </w:tc>
        <w:tc>
          <w:tcPr>
            <w:tcW w:type="dxa" w:w="2880"/>
          </w:tcPr>
          <w:p>
            <w:r>
              <w:rPr>
                <w:sz w:val="18"/>
              </w:rPr>
              <w:t>[Disease Association and ] score_target</w:t>
            </w:r>
          </w:p>
        </w:tc>
        <w:tc>
          <w:tcPr>
            <w:tcW w:type="dxa" w:w="2880"/>
          </w:tcPr>
          <w:p>
            <w:r>
              <w:rPr>
                <w:sz w:val="18"/>
              </w:rPr>
              <w:t>target=ERBB2, indication=breast cancer</w:t>
            </w:r>
          </w:p>
        </w:tc>
      </w:tr>
      <w:tr>
        <w:tc>
          <w:tcPr>
            <w:tcW w:type="dxa" w:w="2880"/>
            <w:shd w:val="clear" w:fill="F1F5F9"/>
          </w:tcPr>
          <w:p>
            <w:r>
              <w:rPr>
                <w:sz w:val="18"/>
              </w:rPr>
              <w:t>30</w:t>
            </w:r>
          </w:p>
        </w:tc>
        <w:tc>
          <w:tcPr>
            <w:tcW w:type="dxa" w:w="2880"/>
            <w:shd w:val="clear" w:fill="F1F5F9"/>
          </w:tcPr>
          <w:p>
            <w:r>
              <w:rPr>
                <w:sz w:val="18"/>
              </w:rPr>
              <w:t>[Disease Association and ] opentargets_target</w:t>
            </w:r>
          </w:p>
        </w:tc>
        <w:tc>
          <w:tcPr>
            <w:tcW w:type="dxa" w:w="2880"/>
            <w:shd w:val="clear" w:fill="F1F5F9"/>
          </w:tcPr>
          <w:p>
            <w:r>
              <w:rPr>
                <w:sz w:val="18"/>
              </w:rPr>
              <w:t>symbol=ERBB2</w:t>
            </w:r>
          </w:p>
        </w:tc>
      </w:tr>
      <w:tr>
        <w:tc>
          <w:tcPr>
            <w:tcW w:type="dxa" w:w="2880"/>
          </w:tcPr>
          <w:p>
            <w:r>
              <w:rPr>
                <w:sz w:val="18"/>
              </w:rPr>
              <w:t>31</w:t>
            </w:r>
          </w:p>
        </w:tc>
        <w:tc>
          <w:tcPr>
            <w:tcW w:type="dxa" w:w="2880"/>
          </w:tcPr>
          <w:p>
            <w:r>
              <w:rPr>
                <w:sz w:val="18"/>
              </w:rPr>
              <w:t>[Disease Association and ] cbioportal_genomics</w:t>
            </w:r>
          </w:p>
        </w:tc>
        <w:tc>
          <w:tcPr>
            <w:tcW w:type="dxa" w:w="2880"/>
          </w:tcPr>
          <w:p>
            <w:r>
              <w:rPr>
                <w:sz w:val="18"/>
              </w:rPr>
              <w:t>gene=ERBB2</w:t>
            </w:r>
          </w:p>
        </w:tc>
      </w:tr>
      <w:tr>
        <w:tc>
          <w:tcPr>
            <w:tcW w:type="dxa" w:w="2880"/>
            <w:shd w:val="clear" w:fill="F1F5F9"/>
          </w:tcPr>
          <w:p>
            <w:r>
              <w:rPr>
                <w:sz w:val="18"/>
              </w:rPr>
              <w:t>32</w:t>
            </w:r>
          </w:p>
        </w:tc>
        <w:tc>
          <w:tcPr>
            <w:tcW w:type="dxa" w:w="2880"/>
            <w:shd w:val="clear" w:fill="F1F5F9"/>
          </w:tcPr>
          <w:p>
            <w:r>
              <w:rPr>
                <w:sz w:val="18"/>
              </w:rPr>
              <w:t>[Disease Association and ] opentargets_target</w:t>
            </w:r>
          </w:p>
        </w:tc>
        <w:tc>
          <w:tcPr>
            <w:tcW w:type="dxa" w:w="2880"/>
            <w:shd w:val="clear" w:fill="F1F5F9"/>
          </w:tcPr>
          <w:p>
            <w:r>
              <w:rPr>
                <w:sz w:val="18"/>
              </w:rPr>
              <w:t>symbol=ERBB2</w:t>
            </w:r>
          </w:p>
        </w:tc>
      </w:tr>
      <w:tr>
        <w:tc>
          <w:tcPr>
            <w:tcW w:type="dxa" w:w="2880"/>
          </w:tcPr>
          <w:p>
            <w:r>
              <w:rPr>
                <w:sz w:val="18"/>
              </w:rPr>
              <w:t>33</w:t>
            </w:r>
          </w:p>
        </w:tc>
        <w:tc>
          <w:tcPr>
            <w:tcW w:type="dxa" w:w="2880"/>
          </w:tcPr>
          <w:p>
            <w:r>
              <w:rPr>
                <w:sz w:val="18"/>
              </w:rPr>
              <w:t>[Disease Association and ] cbioportal_genomics</w:t>
            </w:r>
          </w:p>
        </w:tc>
        <w:tc>
          <w:tcPr>
            <w:tcW w:type="dxa" w:w="2880"/>
          </w:tcPr>
          <w:p>
            <w:r>
              <w:rPr>
                <w:sz w:val="18"/>
              </w:rPr>
              <w:t>gene=ERBB2</w:t>
            </w:r>
          </w:p>
        </w:tc>
      </w:tr>
      <w:tr>
        <w:tc>
          <w:tcPr>
            <w:tcW w:type="dxa" w:w="2880"/>
            <w:shd w:val="clear" w:fill="F1F5F9"/>
          </w:tcPr>
          <w:p>
            <w:r>
              <w:rPr>
                <w:sz w:val="18"/>
              </w:rPr>
              <w:t>34</w:t>
            </w:r>
          </w:p>
        </w:tc>
        <w:tc>
          <w:tcPr>
            <w:tcW w:type="dxa" w:w="2880"/>
            <w:shd w:val="clear" w:fill="F1F5F9"/>
          </w:tcPr>
          <w:p>
            <w:r>
              <w:rPr>
                <w:sz w:val="18"/>
              </w:rPr>
              <w:t>[Disease Association and ] opentargets_target</w:t>
            </w:r>
          </w:p>
        </w:tc>
        <w:tc>
          <w:tcPr>
            <w:tcW w:type="dxa" w:w="2880"/>
            <w:shd w:val="clear" w:fill="F1F5F9"/>
          </w:tcPr>
          <w:p>
            <w:r>
              <w:rPr>
                <w:sz w:val="18"/>
              </w:rPr>
              <w:t>symbol=ERBB2</w:t>
            </w:r>
          </w:p>
        </w:tc>
      </w:tr>
      <w:tr>
        <w:tc>
          <w:tcPr>
            <w:tcW w:type="dxa" w:w="2880"/>
          </w:tcPr>
          <w:p>
            <w:r>
              <w:rPr>
                <w:sz w:val="18"/>
              </w:rPr>
              <w:t>35</w:t>
            </w:r>
          </w:p>
        </w:tc>
        <w:tc>
          <w:tcPr>
            <w:tcW w:type="dxa" w:w="2880"/>
          </w:tcPr>
          <w:p>
            <w:r>
              <w:rPr>
                <w:sz w:val="18"/>
              </w:rPr>
              <w:t>[Disease Association and ] score_target</w:t>
            </w:r>
          </w:p>
        </w:tc>
        <w:tc>
          <w:tcPr>
            <w:tcW w:type="dxa" w:w="2880"/>
          </w:tcPr>
          <w:p>
            <w:r>
              <w:rPr>
                <w:sz w:val="18"/>
              </w:rPr>
              <w:t>target=ERBB2, indication=breast cancer</w:t>
            </w:r>
          </w:p>
        </w:tc>
      </w:tr>
      <w:tr>
        <w:tc>
          <w:tcPr>
            <w:tcW w:type="dxa" w:w="2880"/>
            <w:shd w:val="clear" w:fill="F1F5F9"/>
          </w:tcPr>
          <w:p>
            <w:r>
              <w:rPr>
                <w:sz w:val="18"/>
              </w:rPr>
              <w:t>36</w:t>
            </w:r>
          </w:p>
        </w:tc>
        <w:tc>
          <w:tcPr>
            <w:tcW w:type="dxa" w:w="2880"/>
            <w:shd w:val="clear" w:fill="F1F5F9"/>
          </w:tcPr>
          <w:p>
            <w:r>
              <w:rPr>
                <w:sz w:val="18"/>
              </w:rPr>
              <w:t>[Disease Association and ] opentargets_target</w:t>
            </w:r>
          </w:p>
        </w:tc>
        <w:tc>
          <w:tcPr>
            <w:tcW w:type="dxa" w:w="2880"/>
            <w:shd w:val="clear" w:fill="F1F5F9"/>
          </w:tcPr>
          <w:p>
            <w:r>
              <w:rPr>
                <w:sz w:val="18"/>
              </w:rPr>
              <w:t>symbol=ERBB2</w:t>
            </w:r>
          </w:p>
        </w:tc>
      </w:tr>
      <w:tr>
        <w:tc>
          <w:tcPr>
            <w:tcW w:type="dxa" w:w="2880"/>
          </w:tcPr>
          <w:p>
            <w:r>
              <w:rPr>
                <w:sz w:val="18"/>
              </w:rPr>
              <w:t>37</w:t>
            </w:r>
          </w:p>
        </w:tc>
        <w:tc>
          <w:tcPr>
            <w:tcW w:type="dxa" w:w="2880"/>
          </w:tcPr>
          <w:p>
            <w:r>
              <w:rPr>
                <w:sz w:val="18"/>
              </w:rPr>
              <w:t>[On-Target Safety, Tissue] todo_write</w:t>
            </w:r>
          </w:p>
        </w:tc>
        <w:tc>
          <w:tcPr>
            <w:tcW w:type="dxa" w:w="2880"/>
          </w:tcPr>
          <w:p>
            <w:r>
              <w:rPr>
                <w:sz w:val="18"/>
              </w:rPr>
              <w:t>todos=[{'content': 'Run HPA expression for ERB</w:t>
            </w:r>
          </w:p>
        </w:tc>
      </w:tr>
      <w:tr>
        <w:tc>
          <w:tcPr>
            <w:tcW w:type="dxa" w:w="2880"/>
            <w:shd w:val="clear" w:fill="F1F5F9"/>
          </w:tcPr>
          <w:p>
            <w:r>
              <w:rPr>
                <w:sz w:val="18"/>
              </w:rPr>
              <w:t>38</w:t>
            </w:r>
          </w:p>
        </w:tc>
        <w:tc>
          <w:tcPr>
            <w:tcW w:type="dxa" w:w="2880"/>
            <w:shd w:val="clear" w:fill="F1F5F9"/>
          </w:tcPr>
          <w:p>
            <w:r>
              <w:rPr>
                <w:sz w:val="18"/>
              </w:rPr>
              <w:t>[On-Target Safety, Tissue] hpa_expression</w:t>
            </w:r>
          </w:p>
        </w:tc>
        <w:tc>
          <w:tcPr>
            <w:tcW w:type="dxa" w:w="2880"/>
            <w:shd w:val="clear" w:fill="F1F5F9"/>
          </w:tcPr>
          <w:p>
            <w:r>
              <w:rPr>
                <w:sz w:val="18"/>
              </w:rPr>
              <w:t>gene=ERBB2</w:t>
            </w:r>
          </w:p>
        </w:tc>
      </w:tr>
      <w:tr>
        <w:tc>
          <w:tcPr>
            <w:tcW w:type="dxa" w:w="2880"/>
          </w:tcPr>
          <w:p>
            <w:r>
              <w:rPr>
                <w:sz w:val="18"/>
              </w:rPr>
              <w:t>39</w:t>
            </w:r>
          </w:p>
        </w:tc>
        <w:tc>
          <w:tcPr>
            <w:tcW w:type="dxa" w:w="2880"/>
          </w:tcPr>
          <w:p>
            <w:r>
              <w:rPr>
                <w:sz w:val="18"/>
              </w:rPr>
              <w:t>[On-Target Safety, Tissue] gtex_expression</w:t>
            </w:r>
          </w:p>
        </w:tc>
        <w:tc>
          <w:tcPr>
            <w:tcW w:type="dxa" w:w="2880"/>
          </w:tcPr>
          <w:p>
            <w:r>
              <w:rPr>
                <w:sz w:val="18"/>
              </w:rPr>
              <w:t>gene=ERBB2</w:t>
            </w:r>
          </w:p>
        </w:tc>
      </w:tr>
      <w:tr>
        <w:tc>
          <w:tcPr>
            <w:tcW w:type="dxa" w:w="2880"/>
            <w:shd w:val="clear" w:fill="F1F5F9"/>
          </w:tcPr>
          <w:p>
            <w:r>
              <w:rPr>
                <w:sz w:val="18"/>
              </w:rPr>
              <w:t>40</w:t>
            </w:r>
          </w:p>
        </w:tc>
        <w:tc>
          <w:tcPr>
            <w:tcW w:type="dxa" w:w="2880"/>
            <w:shd w:val="clear" w:fill="F1F5F9"/>
          </w:tcPr>
          <w:p>
            <w:r>
              <w:rPr>
                <w:sz w:val="18"/>
              </w:rPr>
              <w:t>[On-Target Safety, Tissue] gtex_expression</w:t>
            </w:r>
          </w:p>
        </w:tc>
        <w:tc>
          <w:tcPr>
            <w:tcW w:type="dxa" w:w="2880"/>
            <w:shd w:val="clear" w:fill="F1F5F9"/>
          </w:tcPr>
          <w:p>
            <w:r>
              <w:rPr>
                <w:sz w:val="18"/>
              </w:rPr>
              <w:t>gene=ERBB2</w:t>
            </w:r>
          </w:p>
        </w:tc>
      </w:tr>
      <w:tr>
        <w:tc>
          <w:tcPr>
            <w:tcW w:type="dxa" w:w="2880"/>
          </w:tcPr>
          <w:p>
            <w:r>
              <w:rPr>
                <w:sz w:val="18"/>
              </w:rPr>
              <w:t>41</w:t>
            </w:r>
          </w:p>
        </w:tc>
        <w:tc>
          <w:tcPr>
            <w:tcW w:type="dxa" w:w="2880"/>
          </w:tcPr>
          <w:p>
            <w:r>
              <w:rPr>
                <w:sz w:val="18"/>
              </w:rPr>
              <w:t>[On-Target Safety, Tissue] hpa_expression</w:t>
            </w:r>
          </w:p>
        </w:tc>
        <w:tc>
          <w:tcPr>
            <w:tcW w:type="dxa" w:w="2880"/>
          </w:tcPr>
          <w:p>
            <w:r>
              <w:rPr>
                <w:sz w:val="18"/>
              </w:rPr>
              <w:t>gene=ERBB2</w:t>
            </w:r>
          </w:p>
        </w:tc>
      </w:tr>
      <w:tr>
        <w:tc>
          <w:tcPr>
            <w:tcW w:type="dxa" w:w="2880"/>
            <w:shd w:val="clear" w:fill="F1F5F9"/>
          </w:tcPr>
          <w:p>
            <w:r>
              <w:rPr>
                <w:sz w:val="18"/>
              </w:rPr>
              <w:t>42</w:t>
            </w:r>
          </w:p>
        </w:tc>
        <w:tc>
          <w:tcPr>
            <w:tcW w:type="dxa" w:w="2880"/>
            <w:shd w:val="clear" w:fill="F1F5F9"/>
          </w:tcPr>
          <w:p>
            <w:r>
              <w:rPr>
                <w:sz w:val="18"/>
              </w:rPr>
              <w:t>[On-Target Safety, Tissue] gtex_expression</w:t>
            </w:r>
          </w:p>
        </w:tc>
        <w:tc>
          <w:tcPr>
            <w:tcW w:type="dxa" w:w="2880"/>
            <w:shd w:val="clear" w:fill="F1F5F9"/>
          </w:tcPr>
          <w:p>
            <w:r>
              <w:rPr>
                <w:sz w:val="18"/>
              </w:rPr>
              <w:t>gene=ERBB2</w:t>
            </w:r>
          </w:p>
        </w:tc>
      </w:tr>
      <w:tr>
        <w:tc>
          <w:tcPr>
            <w:tcW w:type="dxa" w:w="2880"/>
          </w:tcPr>
          <w:p>
            <w:r>
              <w:rPr>
                <w:sz w:val="18"/>
              </w:rPr>
              <w:t>43</w:t>
            </w:r>
          </w:p>
        </w:tc>
        <w:tc>
          <w:tcPr>
            <w:tcW w:type="dxa" w:w="2880"/>
          </w:tcPr>
          <w:p>
            <w:r>
              <w:rPr>
                <w:sz w:val="18"/>
              </w:rPr>
              <w:t>[On-Target Safety, Tissue] hpa_expression</w:t>
            </w:r>
          </w:p>
        </w:tc>
        <w:tc>
          <w:tcPr>
            <w:tcW w:type="dxa" w:w="2880"/>
          </w:tcPr>
          <w:p>
            <w:r>
              <w:rPr>
                <w:sz w:val="18"/>
              </w:rPr>
              <w:t>gene=ERBB2</w:t>
            </w:r>
          </w:p>
        </w:tc>
      </w:tr>
      <w:tr>
        <w:tc>
          <w:tcPr>
            <w:tcW w:type="dxa" w:w="2880"/>
            <w:shd w:val="clear" w:fill="F1F5F9"/>
          </w:tcPr>
          <w:p>
            <w:r>
              <w:rPr>
                <w:sz w:val="18"/>
              </w:rPr>
              <w:t>44</w:t>
            </w:r>
          </w:p>
        </w:tc>
        <w:tc>
          <w:tcPr>
            <w:tcW w:type="dxa" w:w="2880"/>
            <w:shd w:val="clear" w:fill="F1F5F9"/>
          </w:tcPr>
          <w:p>
            <w:r>
              <w:rPr>
                <w:sz w:val="18"/>
              </w:rPr>
              <w:t>[On-Target Safety, Tissue] gtex_expression</w:t>
            </w:r>
          </w:p>
        </w:tc>
        <w:tc>
          <w:tcPr>
            <w:tcW w:type="dxa" w:w="2880"/>
            <w:shd w:val="clear" w:fill="F1F5F9"/>
          </w:tcPr>
          <w:p>
            <w:r>
              <w:rPr>
                <w:sz w:val="18"/>
              </w:rPr>
              <w:t>gene=ERBB2</w:t>
            </w:r>
          </w:p>
        </w:tc>
      </w:tr>
      <w:tr>
        <w:tc>
          <w:tcPr>
            <w:tcW w:type="dxa" w:w="2880"/>
          </w:tcPr>
          <w:p>
            <w:r>
              <w:rPr>
                <w:sz w:val="18"/>
              </w:rPr>
              <w:t>45</w:t>
            </w:r>
          </w:p>
        </w:tc>
        <w:tc>
          <w:tcPr>
            <w:tcW w:type="dxa" w:w="2880"/>
          </w:tcPr>
          <w:p>
            <w:r>
              <w:rPr>
                <w:sz w:val="18"/>
              </w:rPr>
              <w:t>[On-Target Safety, Tissue] hpa_expression</w:t>
            </w:r>
          </w:p>
        </w:tc>
        <w:tc>
          <w:tcPr>
            <w:tcW w:type="dxa" w:w="2880"/>
          </w:tcPr>
          <w:p>
            <w:r>
              <w:rPr>
                <w:sz w:val="18"/>
              </w:rPr>
              <w:t>gene=ERBB2</w:t>
            </w:r>
          </w:p>
        </w:tc>
      </w:tr>
      <w:tr>
        <w:tc>
          <w:tcPr>
            <w:tcW w:type="dxa" w:w="2880"/>
            <w:shd w:val="clear" w:fill="F1F5F9"/>
          </w:tcPr>
          <w:p>
            <w:r>
              <w:rPr>
                <w:sz w:val="18"/>
              </w:rPr>
              <w:t>46</w:t>
            </w:r>
          </w:p>
        </w:tc>
        <w:tc>
          <w:tcPr>
            <w:tcW w:type="dxa" w:w="2880"/>
            <w:shd w:val="clear" w:fill="F1F5F9"/>
          </w:tcPr>
          <w:p>
            <w:r>
              <w:rPr>
                <w:sz w:val="18"/>
              </w:rPr>
              <w:t>[On-Target Safety, Tissue] gtex_expression</w:t>
            </w:r>
          </w:p>
        </w:tc>
        <w:tc>
          <w:tcPr>
            <w:tcW w:type="dxa" w:w="2880"/>
            <w:shd w:val="clear" w:fill="F1F5F9"/>
          </w:tcPr>
          <w:p>
            <w:r>
              <w:rPr>
                <w:sz w:val="18"/>
              </w:rPr>
              <w:t>gene=ERBB2</w:t>
            </w:r>
          </w:p>
        </w:tc>
      </w:tr>
      <w:tr>
        <w:tc>
          <w:tcPr>
            <w:tcW w:type="dxa" w:w="2880"/>
          </w:tcPr>
          <w:p>
            <w:r>
              <w:rPr>
                <w:sz w:val="18"/>
              </w:rPr>
              <w:t>47</w:t>
            </w:r>
          </w:p>
        </w:tc>
        <w:tc>
          <w:tcPr>
            <w:tcW w:type="dxa" w:w="2880"/>
          </w:tcPr>
          <w:p>
            <w:r>
              <w:rPr>
                <w:sz w:val="18"/>
              </w:rPr>
              <w:t>[On-Target Safety, Tissue] hpa_expression</w:t>
            </w:r>
          </w:p>
        </w:tc>
        <w:tc>
          <w:tcPr>
            <w:tcW w:type="dxa" w:w="2880"/>
          </w:tcPr>
          <w:p>
            <w:r>
              <w:rPr>
                <w:sz w:val="18"/>
              </w:rPr>
              <w:t>gene=ERBB2</w:t>
            </w:r>
          </w:p>
        </w:tc>
      </w:tr>
      <w:tr>
        <w:tc>
          <w:tcPr>
            <w:tcW w:type="dxa" w:w="2880"/>
            <w:shd w:val="clear" w:fill="F1F5F9"/>
          </w:tcPr>
          <w:p>
            <w:r>
              <w:rPr>
                <w:sz w:val="18"/>
              </w:rPr>
              <w:t>48</w:t>
            </w:r>
          </w:p>
        </w:tc>
        <w:tc>
          <w:tcPr>
            <w:tcW w:type="dxa" w:w="2880"/>
            <w:shd w:val="clear" w:fill="F1F5F9"/>
          </w:tcPr>
          <w:p>
            <w:r>
              <w:rPr>
                <w:sz w:val="18"/>
              </w:rPr>
              <w:t>[On-Target Safety, Tissue] gtex_expression</w:t>
            </w:r>
          </w:p>
        </w:tc>
        <w:tc>
          <w:tcPr>
            <w:tcW w:type="dxa" w:w="2880"/>
            <w:shd w:val="clear" w:fill="F1F5F9"/>
          </w:tcPr>
          <w:p>
            <w:r>
              <w:rPr>
                <w:sz w:val="18"/>
              </w:rPr>
              <w:t>gene=ERBB2</w:t>
            </w:r>
          </w:p>
        </w:tc>
      </w:tr>
      <w:tr>
        <w:tc>
          <w:tcPr>
            <w:tcW w:type="dxa" w:w="2880"/>
          </w:tcPr>
          <w:p>
            <w:r>
              <w:rPr>
                <w:sz w:val="18"/>
              </w:rPr>
              <w:t>49</w:t>
            </w:r>
          </w:p>
        </w:tc>
        <w:tc>
          <w:tcPr>
            <w:tcW w:type="dxa" w:w="2880"/>
          </w:tcPr>
          <w:p>
            <w:r>
              <w:rPr>
                <w:sz w:val="18"/>
              </w:rPr>
              <w:t>[Clinical Pipeline and Co] todo_write</w:t>
            </w:r>
          </w:p>
        </w:tc>
        <w:tc>
          <w:tcPr>
            <w:tcW w:type="dxa" w:w="2880"/>
          </w:tcPr>
          <w:p>
            <w:r>
              <w:rPr>
                <w:sz w:val="18"/>
              </w:rPr>
              <w:t xml:space="preserve">todos=[{'content': 'Search clinical_precedent </w:t>
            </w:r>
          </w:p>
        </w:tc>
      </w:tr>
      <w:tr>
        <w:tc>
          <w:tcPr>
            <w:tcW w:type="dxa" w:w="2880"/>
            <w:shd w:val="clear" w:fill="F1F5F9"/>
          </w:tcPr>
          <w:p>
            <w:r>
              <w:rPr>
                <w:sz w:val="18"/>
              </w:rPr>
              <w:t>50</w:t>
            </w:r>
          </w:p>
        </w:tc>
        <w:tc>
          <w:tcPr>
            <w:tcW w:type="dxa" w:w="2880"/>
            <w:shd w:val="clear" w:fill="F1F5F9"/>
          </w:tcPr>
          <w:p>
            <w:r>
              <w:rPr>
                <w:sz w:val="18"/>
              </w:rPr>
              <w:t>[Clinical Pipeline and Co] clinical_precedent</w:t>
            </w:r>
          </w:p>
        </w:tc>
        <w:tc>
          <w:tcPr>
            <w:tcW w:type="dxa" w:w="2880"/>
            <w:shd w:val="clear" w:fill="F1F5F9"/>
          </w:tcPr>
          <w:p>
            <w:r>
              <w:rPr>
                <w:sz w:val="18"/>
              </w:rPr>
              <w:t>target=ERBB2</w:t>
            </w:r>
          </w:p>
        </w:tc>
      </w:tr>
      <w:tr>
        <w:tc>
          <w:tcPr>
            <w:tcW w:type="dxa" w:w="2880"/>
          </w:tcPr>
          <w:p>
            <w:r>
              <w:rPr>
                <w:sz w:val="18"/>
              </w:rPr>
              <w:t>51</w:t>
            </w:r>
          </w:p>
        </w:tc>
        <w:tc>
          <w:tcPr>
            <w:tcW w:type="dxa" w:w="2880"/>
          </w:tcPr>
          <w:p>
            <w:r>
              <w:rPr>
                <w:sz w:val="18"/>
              </w:rPr>
              <w:t>[Clinical Pipeline and Co] clinicaltrials_search</w:t>
            </w:r>
          </w:p>
        </w:tc>
        <w:tc>
          <w:tcPr>
            <w:tcW w:type="dxa" w:w="2880"/>
          </w:tcPr>
          <w:p>
            <w:r>
              <w:rPr>
                <w:sz w:val="18"/>
              </w:rPr>
              <w:t>query=HER2-low breast cancer antibody drug con</w:t>
            </w:r>
          </w:p>
        </w:tc>
      </w:tr>
      <w:tr>
        <w:tc>
          <w:tcPr>
            <w:tcW w:type="dxa" w:w="2880"/>
            <w:shd w:val="clear" w:fill="F1F5F9"/>
          </w:tcPr>
          <w:p>
            <w:r>
              <w:rPr>
                <w:sz w:val="18"/>
              </w:rPr>
              <w:t>52</w:t>
            </w:r>
          </w:p>
        </w:tc>
        <w:tc>
          <w:tcPr>
            <w:tcW w:type="dxa" w:w="2880"/>
            <w:shd w:val="clear" w:fill="F1F5F9"/>
          </w:tcPr>
          <w:p>
            <w:r>
              <w:rPr>
                <w:sz w:val="18"/>
              </w:rPr>
              <w:t>[Clinical Pipeline and Co] clinicaltrials_search</w:t>
            </w:r>
          </w:p>
        </w:tc>
        <w:tc>
          <w:tcPr>
            <w:tcW w:type="dxa" w:w="2880"/>
            <w:shd w:val="clear" w:fill="F1F5F9"/>
          </w:tcPr>
          <w:p>
            <w:r>
              <w:rPr>
                <w:sz w:val="18"/>
              </w:rPr>
              <w:t xml:space="preserve">query=trastuzumab deruxtecan DESTINY-Breast06 </w:t>
            </w:r>
          </w:p>
        </w:tc>
      </w:tr>
      <w:tr>
        <w:tc>
          <w:tcPr>
            <w:tcW w:type="dxa" w:w="2880"/>
          </w:tcPr>
          <w:p>
            <w:r>
              <w:rPr>
                <w:sz w:val="18"/>
              </w:rPr>
              <w:t>53</w:t>
            </w:r>
          </w:p>
        </w:tc>
        <w:tc>
          <w:tcPr>
            <w:tcW w:type="dxa" w:w="2880"/>
          </w:tcPr>
          <w:p>
            <w:r>
              <w:rPr>
                <w:sz w:val="18"/>
              </w:rPr>
              <w:t>[Clinical Pipeline and Co] clinicaltrials_search</w:t>
            </w:r>
          </w:p>
        </w:tc>
        <w:tc>
          <w:tcPr>
            <w:tcW w:type="dxa" w:w="2880"/>
          </w:tcPr>
          <w:p>
            <w:r>
              <w:rPr>
                <w:sz w:val="18"/>
              </w:rPr>
              <w:t>query=HER2-low breast cancer ADC trastuzumab d</w:t>
            </w:r>
          </w:p>
        </w:tc>
      </w:tr>
      <w:tr>
        <w:tc>
          <w:tcPr>
            <w:tcW w:type="dxa" w:w="2880"/>
            <w:shd w:val="clear" w:fill="F1F5F9"/>
          </w:tcPr>
          <w:p>
            <w:r>
              <w:rPr>
                <w:sz w:val="18"/>
              </w:rPr>
              <w:t>54</w:t>
            </w:r>
          </w:p>
        </w:tc>
        <w:tc>
          <w:tcPr>
            <w:tcW w:type="dxa" w:w="2880"/>
            <w:shd w:val="clear" w:fill="F1F5F9"/>
          </w:tcPr>
          <w:p>
            <w:r>
              <w:rPr>
                <w:sz w:val="18"/>
              </w:rPr>
              <w:t>[Clinical Pipeline and Co] clinicaltrials_search</w:t>
            </w:r>
          </w:p>
        </w:tc>
        <w:tc>
          <w:tcPr>
            <w:tcW w:type="dxa" w:w="2880"/>
            <w:shd w:val="clear" w:fill="F1F5F9"/>
          </w:tcPr>
          <w:p>
            <w:r>
              <w:rPr>
                <w:sz w:val="18"/>
              </w:rPr>
              <w:t>query=trastuzumab deruxtecan HER2-low breast c</w:t>
            </w:r>
          </w:p>
        </w:tc>
      </w:tr>
      <w:tr>
        <w:tc>
          <w:tcPr>
            <w:tcW w:type="dxa" w:w="2880"/>
          </w:tcPr>
          <w:p>
            <w:r>
              <w:rPr>
                <w:sz w:val="18"/>
              </w:rPr>
              <w:t>55</w:t>
            </w:r>
          </w:p>
        </w:tc>
        <w:tc>
          <w:tcPr>
            <w:tcW w:type="dxa" w:w="2880"/>
          </w:tcPr>
          <w:p>
            <w:r>
              <w:rPr>
                <w:sz w:val="18"/>
              </w:rPr>
              <w:t>[Clinical Pipeline and Co] clinicaltrials_search</w:t>
            </w:r>
          </w:p>
        </w:tc>
        <w:tc>
          <w:tcPr>
            <w:tcW w:type="dxa" w:w="2880"/>
          </w:tcPr>
          <w:p>
            <w:r>
              <w:rPr>
                <w:sz w:val="18"/>
              </w:rPr>
              <w:t xml:space="preserve">query=trastuzumab deruxtecan DESTINY-Breast06 </w:t>
            </w:r>
          </w:p>
        </w:tc>
      </w:tr>
      <w:tr>
        <w:tc>
          <w:tcPr>
            <w:tcW w:type="dxa" w:w="2880"/>
            <w:shd w:val="clear" w:fill="F1F5F9"/>
          </w:tcPr>
          <w:p>
            <w:r>
              <w:rPr>
                <w:sz w:val="18"/>
              </w:rPr>
              <w:t>56</w:t>
            </w:r>
          </w:p>
        </w:tc>
        <w:tc>
          <w:tcPr>
            <w:tcW w:type="dxa" w:w="2880"/>
            <w:shd w:val="clear" w:fill="F1F5F9"/>
          </w:tcPr>
          <w:p>
            <w:r>
              <w:rPr>
                <w:sz w:val="18"/>
              </w:rPr>
              <w:t>[Clinical Pipeline and Co] clinicaltrials_search</w:t>
            </w:r>
          </w:p>
        </w:tc>
        <w:tc>
          <w:tcPr>
            <w:tcW w:type="dxa" w:w="2880"/>
            <w:shd w:val="clear" w:fill="F1F5F9"/>
          </w:tcPr>
          <w:p>
            <w:r>
              <w:rPr>
                <w:sz w:val="18"/>
              </w:rPr>
              <w:t xml:space="preserve">query=DESTINY-Breast06 trastuzumab deruxtecan </w:t>
            </w:r>
          </w:p>
        </w:tc>
      </w:tr>
      <w:tr>
        <w:tc>
          <w:tcPr>
            <w:tcW w:type="dxa" w:w="2880"/>
          </w:tcPr>
          <w:p>
            <w:r>
              <w:rPr>
                <w:sz w:val="18"/>
              </w:rPr>
              <w:t>57</w:t>
            </w:r>
          </w:p>
        </w:tc>
        <w:tc>
          <w:tcPr>
            <w:tcW w:type="dxa" w:w="2880"/>
          </w:tcPr>
          <w:p>
            <w:r>
              <w:rPr>
                <w:sz w:val="18"/>
              </w:rPr>
              <w:t>[Clinical Pipeline and Co] clinicaltrials_search</w:t>
            </w:r>
          </w:p>
        </w:tc>
        <w:tc>
          <w:tcPr>
            <w:tcW w:type="dxa" w:w="2880"/>
          </w:tcPr>
          <w:p>
            <w:r>
              <w:rPr>
                <w:sz w:val="18"/>
              </w:rPr>
              <w:t>query=trastuzumab deruxtecan HER2-low breast c</w:t>
            </w:r>
          </w:p>
        </w:tc>
      </w:tr>
      <w:tr>
        <w:tc>
          <w:tcPr>
            <w:tcW w:type="dxa" w:w="2880"/>
            <w:shd w:val="clear" w:fill="F1F5F9"/>
          </w:tcPr>
          <w:p>
            <w:r>
              <w:rPr>
                <w:sz w:val="18"/>
              </w:rPr>
              <w:t>58</w:t>
            </w:r>
          </w:p>
        </w:tc>
        <w:tc>
          <w:tcPr>
            <w:tcW w:type="dxa" w:w="2880"/>
            <w:shd w:val="clear" w:fill="F1F5F9"/>
          </w:tcPr>
          <w:p>
            <w:r>
              <w:rPr>
                <w:sz w:val="18"/>
              </w:rPr>
              <w:t>[Clinical Pipeline and Co] clinicaltrials_search</w:t>
            </w:r>
          </w:p>
        </w:tc>
        <w:tc>
          <w:tcPr>
            <w:tcW w:type="dxa" w:w="2880"/>
            <w:shd w:val="clear" w:fill="F1F5F9"/>
          </w:tcPr>
          <w:p>
            <w:r>
              <w:rPr>
                <w:sz w:val="18"/>
              </w:rPr>
              <w:t xml:space="preserve">query=DESTINY-Breast06 trastuzumab deruxtecan </w:t>
            </w:r>
          </w:p>
        </w:tc>
      </w:tr>
      <w:tr>
        <w:tc>
          <w:tcPr>
            <w:tcW w:type="dxa" w:w="2880"/>
          </w:tcPr>
          <w:p>
            <w:r>
              <w:rPr>
                <w:sz w:val="18"/>
              </w:rPr>
              <w:t>59</w:t>
            </w:r>
          </w:p>
        </w:tc>
        <w:tc>
          <w:tcPr>
            <w:tcW w:type="dxa" w:w="2880"/>
          </w:tcPr>
          <w:p>
            <w:r>
              <w:rPr>
                <w:sz w:val="18"/>
              </w:rPr>
              <w:t>[Clinical Pipeline and Co] clinicaltrials_search</w:t>
            </w:r>
          </w:p>
        </w:tc>
        <w:tc>
          <w:tcPr>
            <w:tcW w:type="dxa" w:w="2880"/>
          </w:tcPr>
          <w:p>
            <w:r>
              <w:rPr>
                <w:sz w:val="18"/>
              </w:rPr>
              <w:t>query=trastuzumab deruxtecan HER2-low breast c</w:t>
            </w:r>
          </w:p>
        </w:tc>
      </w:tr>
      <w:tr>
        <w:tc>
          <w:tcPr>
            <w:tcW w:type="dxa" w:w="2880"/>
            <w:shd w:val="clear" w:fill="F1F5F9"/>
          </w:tcPr>
          <w:p>
            <w:r>
              <w:rPr>
                <w:sz w:val="18"/>
              </w:rPr>
              <w:t>60</w:t>
            </w:r>
          </w:p>
        </w:tc>
        <w:tc>
          <w:tcPr>
            <w:tcW w:type="dxa" w:w="2880"/>
            <w:shd w:val="clear" w:fill="F1F5F9"/>
          </w:tcPr>
          <w:p>
            <w:r>
              <w:rPr>
                <w:sz w:val="18"/>
              </w:rPr>
              <w:t>[Clinical Pipeline and Co] clinicaltrials_search</w:t>
            </w:r>
          </w:p>
        </w:tc>
        <w:tc>
          <w:tcPr>
            <w:tcW w:type="dxa" w:w="2880"/>
            <w:shd w:val="clear" w:fill="F1F5F9"/>
          </w:tcPr>
          <w:p>
            <w:r>
              <w:rPr>
                <w:sz w:val="18"/>
              </w:rPr>
              <w:t xml:space="preserve">query=trastuzumab deruxtecan DESTINY-Breast04 </w:t>
            </w:r>
          </w:p>
        </w:tc>
      </w:tr>
      <w:tr>
        <w:tc>
          <w:tcPr>
            <w:tcW w:type="dxa" w:w="2880"/>
          </w:tcPr>
          <w:p>
            <w:r>
              <w:rPr>
                <w:sz w:val="18"/>
              </w:rPr>
              <w:t>61</w:t>
            </w:r>
          </w:p>
        </w:tc>
        <w:tc>
          <w:tcPr>
            <w:tcW w:type="dxa" w:w="2880"/>
          </w:tcPr>
          <w:p>
            <w:r>
              <w:rPr>
                <w:sz w:val="18"/>
              </w:rPr>
              <w:t>[Biomarkers, Companion Di] todo_write</w:t>
            </w:r>
          </w:p>
        </w:tc>
        <w:tc>
          <w:tcPr>
            <w:tcW w:type="dxa" w:w="2880"/>
          </w:tcPr>
          <w:p>
            <w:r>
              <w:rPr>
                <w:sz w:val="18"/>
              </w:rPr>
              <w:t>todos=[{'content': 'Search PubMed for HER2-low</w:t>
            </w:r>
          </w:p>
        </w:tc>
      </w:tr>
      <w:tr>
        <w:tc>
          <w:tcPr>
            <w:tcW w:type="dxa" w:w="2880"/>
            <w:shd w:val="clear" w:fill="F1F5F9"/>
          </w:tcPr>
          <w:p>
            <w:r>
              <w:rPr>
                <w:sz w:val="18"/>
              </w:rPr>
              <w:t>62</w:t>
            </w:r>
          </w:p>
        </w:tc>
        <w:tc>
          <w:tcPr>
            <w:tcW w:type="dxa" w:w="2880"/>
            <w:shd w:val="clear" w:fill="F1F5F9"/>
          </w:tcPr>
          <w:p>
            <w:r>
              <w:rPr>
                <w:sz w:val="18"/>
              </w:rPr>
              <w:t>[Biomarkers, Companion Di] pubmed_search</w:t>
            </w:r>
          </w:p>
        </w:tc>
        <w:tc>
          <w:tcPr>
            <w:tcW w:type="dxa" w:w="2880"/>
            <w:shd w:val="clear" w:fill="F1F5F9"/>
          </w:tcPr>
          <w:p>
            <w:r>
              <w:rPr>
                <w:sz w:val="18"/>
              </w:rPr>
              <w:t>query=HER2-low breast cancer IHC scoring repro</w:t>
            </w:r>
          </w:p>
        </w:tc>
      </w:tr>
      <w:tr>
        <w:tc>
          <w:tcPr>
            <w:tcW w:type="dxa" w:w="2880"/>
          </w:tcPr>
          <w:p>
            <w:r>
              <w:rPr>
                <w:sz w:val="18"/>
              </w:rPr>
              <w:t>63</w:t>
            </w:r>
          </w:p>
        </w:tc>
        <w:tc>
          <w:tcPr>
            <w:tcW w:type="dxa" w:w="2880"/>
          </w:tcPr>
          <w:p>
            <w:r>
              <w:rPr>
                <w:sz w:val="18"/>
              </w:rPr>
              <w:t>[Biomarkers, Companion Di] pubmed_search</w:t>
            </w:r>
          </w:p>
        </w:tc>
        <w:tc>
          <w:tcPr>
            <w:tcW w:type="dxa" w:w="2880"/>
          </w:tcPr>
          <w:p>
            <w:r>
              <w:rPr>
                <w:sz w:val="18"/>
              </w:rPr>
              <w:t>query=HER2-low breast cancer prevalence propor</w:t>
            </w:r>
          </w:p>
        </w:tc>
      </w:tr>
      <w:tr>
        <w:tc>
          <w:tcPr>
            <w:tcW w:type="dxa" w:w="2880"/>
            <w:shd w:val="clear" w:fill="F1F5F9"/>
          </w:tcPr>
          <w:p>
            <w:r>
              <w:rPr>
                <w:sz w:val="18"/>
              </w:rPr>
              <w:t>64</w:t>
            </w:r>
          </w:p>
        </w:tc>
        <w:tc>
          <w:tcPr>
            <w:tcW w:type="dxa" w:w="2880"/>
            <w:shd w:val="clear" w:fill="F1F5F9"/>
          </w:tcPr>
          <w:p>
            <w:r>
              <w:rPr>
                <w:sz w:val="18"/>
              </w:rPr>
              <w:t>[Biomarkers, Companion Di] pubmed_search</w:t>
            </w:r>
          </w:p>
        </w:tc>
        <w:tc>
          <w:tcPr>
            <w:tcW w:type="dxa" w:w="2880"/>
            <w:shd w:val="clear" w:fill="F1F5F9"/>
          </w:tcPr>
          <w:p>
            <w:r>
              <w:rPr>
                <w:sz w:val="18"/>
              </w:rPr>
              <w:t xml:space="preserve">query=HER2-low breast cancer frequency IHC 1+ </w:t>
            </w:r>
          </w:p>
        </w:tc>
      </w:tr>
      <w:tr>
        <w:tc>
          <w:tcPr>
            <w:tcW w:type="dxa" w:w="2880"/>
          </w:tcPr>
          <w:p>
            <w:r>
              <w:rPr>
                <w:sz w:val="18"/>
              </w:rPr>
              <w:t>65</w:t>
            </w:r>
          </w:p>
        </w:tc>
        <w:tc>
          <w:tcPr>
            <w:tcW w:type="dxa" w:w="2880"/>
          </w:tcPr>
          <w:p>
            <w:r>
              <w:rPr>
                <w:sz w:val="18"/>
              </w:rPr>
              <w:t>[Biomarkers, Companion Di] pubmed_search</w:t>
            </w:r>
          </w:p>
        </w:tc>
        <w:tc>
          <w:tcPr>
            <w:tcW w:type="dxa" w:w="2880"/>
          </w:tcPr>
          <w:p>
            <w:r>
              <w:rPr>
                <w:sz w:val="18"/>
              </w:rPr>
              <w:t>query=HER2-low breast cancer prevalence propor</w:t>
            </w:r>
          </w:p>
        </w:tc>
      </w:tr>
      <w:tr>
        <w:tc>
          <w:tcPr>
            <w:tcW w:type="dxa" w:w="2880"/>
            <w:shd w:val="clear" w:fill="F1F5F9"/>
          </w:tcPr>
          <w:p>
            <w:r>
              <w:rPr>
                <w:sz w:val="18"/>
              </w:rPr>
              <w:t>66</w:t>
            </w:r>
          </w:p>
        </w:tc>
        <w:tc>
          <w:tcPr>
            <w:tcW w:type="dxa" w:w="2880"/>
            <w:shd w:val="clear" w:fill="F1F5F9"/>
          </w:tcPr>
          <w:p>
            <w:r>
              <w:rPr>
                <w:sz w:val="18"/>
              </w:rPr>
              <w:t>[Biomarkers, Companion Di] pubmed_search</w:t>
            </w:r>
          </w:p>
        </w:tc>
        <w:tc>
          <w:tcPr>
            <w:tcW w:type="dxa" w:w="2880"/>
            <w:shd w:val="clear" w:fill="F1F5F9"/>
          </w:tcPr>
          <w:p>
            <w:r>
              <w:rPr>
                <w:sz w:val="18"/>
              </w:rPr>
              <w:t>query=HER2-low breast cancer IHC 1+ 2+ ISH neg</w:t>
            </w:r>
          </w:p>
        </w:tc>
      </w:tr>
      <w:tr>
        <w:tc>
          <w:tcPr>
            <w:tcW w:type="dxa" w:w="2880"/>
          </w:tcPr>
          <w:p>
            <w:r>
              <w:rPr>
                <w:sz w:val="18"/>
              </w:rPr>
              <w:t>67</w:t>
            </w:r>
          </w:p>
        </w:tc>
        <w:tc>
          <w:tcPr>
            <w:tcW w:type="dxa" w:w="2880"/>
          </w:tcPr>
          <w:p>
            <w:r>
              <w:rPr>
                <w:sz w:val="18"/>
              </w:rPr>
              <w:t>[Biomarkers, Companion Di] pubmed_search</w:t>
            </w:r>
          </w:p>
        </w:tc>
        <w:tc>
          <w:tcPr>
            <w:tcW w:type="dxa" w:w="2880"/>
          </w:tcPr>
          <w:p>
            <w:r>
              <w:rPr>
                <w:sz w:val="18"/>
              </w:rPr>
              <w:t>query=HER2-low breast cancer prevalence incide</w:t>
            </w:r>
          </w:p>
        </w:tc>
      </w:tr>
      <w:tr>
        <w:tc>
          <w:tcPr>
            <w:tcW w:type="dxa" w:w="2880"/>
            <w:shd w:val="clear" w:fill="F1F5F9"/>
          </w:tcPr>
          <w:p>
            <w:r>
              <w:rPr>
                <w:sz w:val="18"/>
              </w:rPr>
              <w:t>68</w:t>
            </w:r>
          </w:p>
        </w:tc>
        <w:tc>
          <w:tcPr>
            <w:tcW w:type="dxa" w:w="2880"/>
            <w:shd w:val="clear" w:fill="F1F5F9"/>
          </w:tcPr>
          <w:p>
            <w:r>
              <w:rPr>
                <w:sz w:val="18"/>
              </w:rPr>
              <w:t>[Biomarkers, Companion Di] pubmed_search</w:t>
            </w:r>
          </w:p>
        </w:tc>
        <w:tc>
          <w:tcPr>
            <w:tcW w:type="dxa" w:w="2880"/>
            <w:shd w:val="clear" w:fill="F1F5F9"/>
          </w:tcPr>
          <w:p>
            <w:r>
              <w:rPr>
                <w:sz w:val="18"/>
              </w:rPr>
              <w:t>query=HER2-low breast cancer IHC 1+ 2+ ISH neg</w:t>
            </w:r>
          </w:p>
        </w:tc>
      </w:tr>
      <w:tr>
        <w:tc>
          <w:tcPr>
            <w:tcW w:type="dxa" w:w="2880"/>
          </w:tcPr>
          <w:p>
            <w:r>
              <w:rPr>
                <w:sz w:val="18"/>
              </w:rPr>
              <w:t>69</w:t>
            </w:r>
          </w:p>
        </w:tc>
        <w:tc>
          <w:tcPr>
            <w:tcW w:type="dxa" w:w="2880"/>
          </w:tcPr>
          <w:p>
            <w:r>
              <w:rPr>
                <w:sz w:val="18"/>
              </w:rPr>
              <w:t>[Biomarkers, Companion Di] pubmed_search</w:t>
            </w:r>
          </w:p>
        </w:tc>
        <w:tc>
          <w:tcPr>
            <w:tcW w:type="dxa" w:w="2880"/>
          </w:tcPr>
          <w:p>
            <w:r>
              <w:rPr>
                <w:sz w:val="18"/>
              </w:rPr>
              <w:t>query=HER2-low breast cancer definition IHC sc</w:t>
            </w:r>
          </w:p>
        </w:tc>
      </w:tr>
      <w:tr>
        <w:tc>
          <w:tcPr>
            <w:tcW w:type="dxa" w:w="2880"/>
            <w:shd w:val="clear" w:fill="F1F5F9"/>
          </w:tcPr>
          <w:p>
            <w:r>
              <w:rPr>
                <w:sz w:val="18"/>
              </w:rPr>
              <w:t>70</w:t>
            </w:r>
          </w:p>
        </w:tc>
        <w:tc>
          <w:tcPr>
            <w:tcW w:type="dxa" w:w="2880"/>
            <w:shd w:val="clear" w:fill="F1F5F9"/>
          </w:tcPr>
          <w:p>
            <w:r>
              <w:rPr>
                <w:sz w:val="18"/>
              </w:rPr>
              <w:t>[Biomarkers, Companion Di] pubmed_search</w:t>
            </w:r>
          </w:p>
        </w:tc>
        <w:tc>
          <w:tcPr>
            <w:tcW w:type="dxa" w:w="2880"/>
            <w:shd w:val="clear" w:fill="F1F5F9"/>
          </w:tcPr>
          <w:p>
            <w:r>
              <w:rPr>
                <w:sz w:val="18"/>
              </w:rPr>
              <w:t>query=HER2-low breast cancer trastuzumab derux</w:t>
            </w:r>
          </w:p>
        </w:tc>
      </w:tr>
      <w:tr>
        <w:tc>
          <w:tcPr>
            <w:tcW w:type="dxa" w:w="2880"/>
          </w:tcPr>
          <w:p>
            <w:r>
              <w:rPr>
                <w:sz w:val="18"/>
              </w:rPr>
              <w:t>71</w:t>
            </w:r>
          </w:p>
        </w:tc>
        <w:tc>
          <w:tcPr>
            <w:tcW w:type="dxa" w:w="2880"/>
          </w:tcPr>
          <w:p>
            <w:r>
              <w:rPr>
                <w:sz w:val="18"/>
              </w:rPr>
              <w:t>[Biomarkers, Companion Di] pubmed_search</w:t>
            </w:r>
          </w:p>
        </w:tc>
        <w:tc>
          <w:tcPr>
            <w:tcW w:type="dxa" w:w="2880"/>
          </w:tcPr>
          <w:p>
            <w:r>
              <w:rPr>
                <w:sz w:val="18"/>
              </w:rPr>
              <w:t>query=HER2-low breast cancer proportion preval</w:t>
            </w:r>
          </w:p>
        </w:tc>
      </w:tr>
      <w:tr>
        <w:tc>
          <w:tcPr>
            <w:tcW w:type="dxa" w:w="2880"/>
            <w:shd w:val="clear" w:fill="F1F5F9"/>
          </w:tcPr>
          <w:p>
            <w:r>
              <w:rPr>
                <w:sz w:val="18"/>
              </w:rPr>
              <w:t>72</w:t>
            </w:r>
          </w:p>
        </w:tc>
        <w:tc>
          <w:tcPr>
            <w:tcW w:type="dxa" w:w="2880"/>
            <w:shd w:val="clear" w:fill="F1F5F9"/>
          </w:tcPr>
          <w:p>
            <w:r>
              <w:rPr>
                <w:sz w:val="18"/>
              </w:rPr>
              <w:t>[Biomarkers, Companion Di] pubmed_search</w:t>
            </w:r>
          </w:p>
        </w:tc>
        <w:tc>
          <w:tcPr>
            <w:tcW w:type="dxa" w:w="2880"/>
            <w:shd w:val="clear" w:fill="F1F5F9"/>
          </w:tcPr>
          <w:p>
            <w:r>
              <w:rPr>
                <w:sz w:val="18"/>
              </w:rPr>
              <w:t>query=HER2-low breast cancer definition IHC sc</w:t>
            </w:r>
          </w:p>
        </w:tc>
      </w:tr>
    </w:tbl>
    <w:p>
      <w:pPr>
        <w:pStyle w:val="Heading2"/>
      </w:pPr>
      <w:r>
        <w:t>Citations</w:t>
      </w:r>
    </w:p>
    <w:p>
      <w:pPr>
        <w:pStyle w:val="ListBullet"/>
      </w:pPr>
      <w:r>
        <w:rPr>
          <w:b/>
          <w:color w:val="0D9488"/>
          <w:sz w:val="18"/>
        </w:rPr>
        <w:t xml:space="preserve">VERIFIED  </w:t>
      </w:r>
      <w:r>
        <w:rPr>
          <w:sz w:val="20"/>
        </w:rPr>
        <w:t>37770874 — tool-traceable</w:t>
      </w:r>
    </w:p>
    <w:p>
      <w:pPr>
        <w:pStyle w:val="ListBullet"/>
      </w:pPr>
      <w:r>
        <w:rPr>
          <w:b/>
          <w:color w:val="0D9488"/>
          <w:sz w:val="18"/>
        </w:rPr>
        <w:t xml:space="preserve">VERIFIED  </w:t>
      </w:r>
      <w:r>
        <w:rPr>
          <w:sz w:val="20"/>
        </w:rPr>
        <w:t>40441445 — tool-traceable</w:t>
      </w:r>
    </w:p>
    <w:p>
      <w:pPr>
        <w:pStyle w:val="ListBullet"/>
      </w:pPr>
      <w:r>
        <w:rPr>
          <w:b/>
          <w:color w:val="0D9488"/>
          <w:sz w:val="18"/>
        </w:rPr>
        <w:t xml:space="preserve">VERIFIED  </w:t>
      </w:r>
      <w:r>
        <w:rPr>
          <w:sz w:val="20"/>
        </w:rPr>
        <w:t>41033579 — tool-traceable</w:t>
      </w:r>
    </w:p>
    <w:p>
      <w:pPr>
        <w:pStyle w:val="ListBullet"/>
      </w:pPr>
      <w:r>
        <w:rPr>
          <w:b/>
          <w:color w:val="0D9488"/>
          <w:sz w:val="18"/>
        </w:rPr>
        <w:t xml:space="preserve">VERIFIED  </w:t>
      </w:r>
      <w:r>
        <w:rPr>
          <w:sz w:val="20"/>
        </w:rPr>
        <w:t>41101156 — tool-traceable</w:t>
      </w:r>
    </w:p>
    <w:p>
      <w:pPr>
        <w:pStyle w:val="ListBullet"/>
      </w:pPr>
      <w:r>
        <w:rPr>
          <w:b/>
          <w:color w:val="0D9488"/>
          <w:sz w:val="18"/>
        </w:rPr>
        <w:t xml:space="preserve">VERIFIED  </w:t>
      </w:r>
      <w:r>
        <w:rPr>
          <w:sz w:val="20"/>
        </w:rPr>
        <w:t>41103138 — tool-traceable</w:t>
      </w:r>
    </w:p>
    <w:p>
      <w:pPr>
        <w:pStyle w:val="ListBullet"/>
      </w:pPr>
      <w:r>
        <w:rPr>
          <w:b/>
          <w:color w:val="0D9488"/>
          <w:sz w:val="18"/>
        </w:rPr>
        <w:t xml:space="preserve">VERIFIED  </w:t>
      </w:r>
      <w:r>
        <w:rPr>
          <w:sz w:val="20"/>
        </w:rPr>
        <w:t>41239655 — tool-traceable</w:t>
      </w:r>
    </w:p>
    <w:p>
      <w:pPr>
        <w:pStyle w:val="ListBullet"/>
      </w:pPr>
      <w:r>
        <w:rPr>
          <w:b/>
          <w:color w:val="0D9488"/>
          <w:sz w:val="18"/>
        </w:rPr>
        <w:t xml:space="preserve">VERIFIED  </w:t>
      </w:r>
      <w:r>
        <w:rPr>
          <w:sz w:val="20"/>
        </w:rPr>
        <w:t>41446275 — tool-traceable</w:t>
      </w:r>
    </w:p>
    <w:p>
      <w:pPr>
        <w:pStyle w:val="ListBullet"/>
      </w:pPr>
      <w:r>
        <w:rPr>
          <w:b/>
          <w:color w:val="0D9488"/>
          <w:sz w:val="18"/>
        </w:rPr>
        <w:t xml:space="preserve">VERIFIED  </w:t>
      </w:r>
      <w:r>
        <w:rPr>
          <w:sz w:val="20"/>
        </w:rPr>
        <w:t>42041700 — tool-traceable</w:t>
      </w:r>
    </w:p>
    <w:p>
      <w:pPr>
        <w:pStyle w:val="ListBullet"/>
      </w:pPr>
      <w:r>
        <w:rPr>
          <w:b/>
          <w:color w:val="0D9488"/>
          <w:sz w:val="18"/>
        </w:rPr>
        <w:t xml:space="preserve">VERIFIED  </w:t>
      </w:r>
      <w:r>
        <w:rPr>
          <w:sz w:val="20"/>
        </w:rPr>
        <w:t>CHEMBL1824 — tool-traceable</w:t>
      </w:r>
    </w:p>
    <w:p>
      <w:pPr>
        <w:pStyle w:val="ListBullet"/>
      </w:pPr>
      <w:r>
        <w:rPr>
          <w:b/>
          <w:color w:val="0D9488"/>
          <w:sz w:val="18"/>
        </w:rPr>
        <w:t xml:space="preserve">VERIFIED  </w:t>
      </w:r>
      <w:r>
        <w:rPr>
          <w:sz w:val="20"/>
        </w:rPr>
        <w:t>ENSG00000141736 — tool-traceable</w:t>
      </w:r>
    </w:p>
    <w:p>
      <w:pPr>
        <w:pStyle w:val="ListBullet"/>
      </w:pPr>
      <w:r>
        <w:rPr>
          <w:b/>
          <w:color w:val="0D9488"/>
          <w:sz w:val="18"/>
        </w:rPr>
        <w:t xml:space="preserve">VERIFIED  </w:t>
      </w:r>
      <w:r>
        <w:rPr>
          <w:sz w:val="20"/>
        </w:rPr>
        <w:t>NCT03734029 — tool-traceable</w:t>
      </w:r>
    </w:p>
    <w:p>
      <w:pPr>
        <w:pStyle w:val="ListBullet"/>
      </w:pPr>
      <w:r>
        <w:rPr>
          <w:b/>
          <w:color w:val="0D9488"/>
          <w:sz w:val="18"/>
        </w:rPr>
        <w:t xml:space="preserve">VERIFIED  </w:t>
      </w:r>
      <w:r>
        <w:rPr>
          <w:sz w:val="20"/>
        </w:rPr>
        <w:t>NCT04042701 — tool-traceable</w:t>
      </w:r>
    </w:p>
    <w:p>
      <w:pPr>
        <w:pStyle w:val="ListBullet"/>
      </w:pPr>
      <w:r>
        <w:rPr>
          <w:b/>
          <w:color w:val="0D9488"/>
          <w:sz w:val="18"/>
        </w:rPr>
        <w:t xml:space="preserve">VERIFIED  </w:t>
      </w:r>
      <w:r>
        <w:rPr>
          <w:sz w:val="20"/>
        </w:rPr>
        <w:t>NCT04494425 — tool-traceable</w:t>
      </w:r>
    </w:p>
    <w:p>
      <w:pPr>
        <w:pStyle w:val="ListBullet"/>
      </w:pPr>
      <w:r>
        <w:rPr>
          <w:b/>
          <w:color w:val="0D9488"/>
          <w:sz w:val="18"/>
        </w:rPr>
        <w:t xml:space="preserve">VERIFIED  </w:t>
      </w:r>
      <w:r>
        <w:rPr>
          <w:sz w:val="20"/>
        </w:rPr>
        <w:t>NCT04553770 — tool-traceable</w:t>
      </w:r>
    </w:p>
    <w:p>
      <w:pPr>
        <w:pStyle w:val="ListBullet"/>
      </w:pPr>
      <w:r>
        <w:rPr>
          <w:b/>
          <w:color w:val="0D9488"/>
          <w:sz w:val="18"/>
        </w:rPr>
        <w:t xml:space="preserve">VERIFIED  </w:t>
      </w:r>
      <w:r>
        <w:rPr>
          <w:sz w:val="20"/>
        </w:rPr>
        <w:t>NCT05945732 — tool-traceable</w:t>
      </w:r>
    </w:p>
    <w:p>
      <w:pPr>
        <w:pStyle w:val="ListBullet"/>
      </w:pPr>
      <w:r>
        <w:rPr>
          <w:b/>
          <w:color w:val="0D9488"/>
          <w:sz w:val="18"/>
        </w:rPr>
        <w:t xml:space="preserve">VERIFIED  </w:t>
      </w:r>
      <w:r>
        <w:rPr>
          <w:sz w:val="20"/>
        </w:rPr>
        <w:t>NCT07150208 — tool-traceable</w:t>
      </w:r>
    </w:p>
    <w:p>
      <w:pPr>
        <w:pStyle w:val="ListBullet"/>
      </w:pPr>
      <w:r>
        <w:rPr>
          <w:b/>
          <w:color w:val="0D9488"/>
          <w:sz w:val="18"/>
        </w:rPr>
        <w:t xml:space="preserve">VERIFIED  </w:t>
      </w:r>
      <w:r>
        <w:rPr>
          <w:sz w:val="20"/>
        </w:rPr>
        <w:t>P04626 — tool-traceable</w:t>
      </w:r>
    </w:p>
    <w:p>
      <w:r>
        <w:br w:type="page"/>
      </w:r>
    </w:p>
    <w:p>
      <w:pPr>
        <w:pStyle w:val="Heading1"/>
      </w:pPr>
      <w:r>
        <w:t>Claim Audit / 声明核验</w:t>
      </w:r>
    </w:p>
    <w:p>
      <w:r>
        <w:rPr>
          <w:color w:val="525F6F"/>
          <w:sz w:val="18"/>
        </w:rPr>
        <w:t>150 claims audited · 99 tool-verified · 3 flagged for review. Every atomic factual claim was classified against the tool evidence; flagged claims should be independently confirmed before use.</w:t>
      </w:r>
    </w:p>
    <w:p>
      <w:pPr>
        <w:pStyle w:val="ListBullet"/>
      </w:pPr>
      <w:r>
        <w:rPr>
          <w:b/>
          <w:color w:val="B91C1C"/>
          <w:sz w:val="18"/>
        </w:rPr>
        <w:t xml:space="preserve">与数据矛盾 CONTRADICTED  </w:t>
      </w:r>
      <w:r>
        <w:rPr>
          <w:sz w:val="20"/>
        </w:rPr>
        <w:t>97 total PDB entries returned for ERBB2</w:t>
      </w:r>
      <w:r>
        <w:rPr>
          <w:color w:val="525F6F"/>
          <w:sz w:val="16"/>
        </w:rPr>
        <w:t xml:space="preserve">  — pdb_search returned total 15, not 97</w:t>
      </w:r>
    </w:p>
    <w:p>
      <w:pPr>
        <w:pStyle w:val="ListBullet"/>
      </w:pPr>
      <w:r>
        <w:rPr>
          <w:b/>
          <w:color w:val="B91C1C"/>
          <w:sz w:val="18"/>
        </w:rPr>
        <w:t xml:space="preserve">与数据矛盾 CONTRADICTED  </w:t>
      </w:r>
      <w:r>
        <w:rPr>
          <w:sz w:val="20"/>
        </w:rPr>
        <w:t>DESTINY-Breast06 is NCT04494425, Phase III, ACTIVE_NOT_RECRUITING</w:t>
      </w:r>
      <w:r>
        <w:rPr>
          <w:color w:val="525F6F"/>
          <w:sz w:val="16"/>
        </w:rPr>
        <w:t xml:space="preserve">  — NCT04494425 evidence title does not name DESTINY-Breast06; phase III and ACTIVE_NOT_RECRUITING match, but labeling NCT04494425 as DESTINY-Breast06 is the answer's assertion — evidence does not support</w:t>
      </w:r>
    </w:p>
    <w:p>
      <w:pPr>
        <w:pStyle w:val="ListBullet"/>
      </w:pPr>
      <w:r>
        <w:rPr>
          <w:b/>
          <w:color w:val="B45C09"/>
          <w:sz w:val="18"/>
        </w:rPr>
        <w:t xml:space="preserve">无证据 UNSUPPORTED  </w:t>
      </w:r>
      <w:r>
        <w:rPr>
          <w:sz w:val="20"/>
        </w:rPr>
        <w:t>DESTINY-Breast04 enrolled 557 patients</w:t>
      </w:r>
      <w:r>
        <w:rPr>
          <w:color w:val="525F6F"/>
          <w:sz w:val="16"/>
        </w:rPr>
        <w:t xml:space="preserve">  — specific enrollment number not in any retrieved evidence; DESTINY-Breast04 mentioned but not patient count</w:t>
      </w:r>
    </w:p>
    <w:p>
      <w:pPr>
        <w:pStyle w:val="ListBullet"/>
      </w:pPr>
      <w:r>
        <w:rPr>
          <w:b/>
          <w:color w:val="0D9488"/>
          <w:sz w:val="18"/>
        </w:rPr>
        <w:t xml:space="preserve">已核实 VERIFIED  </w:t>
      </w:r>
      <w:r>
        <w:rPr>
          <w:sz w:val="20"/>
        </w:rPr>
        <w:t>HER2 is a 1,255-amino-acid receptor tyrosine kinase</w:t>
      </w:r>
      <w:r>
        <w:rPr>
          <w:color w:val="525F6F"/>
          <w:sz w:val="16"/>
        </w:rPr>
        <w:t xml:space="preserve">  — AlphaFold sequence_length 1255</w:t>
      </w:r>
    </w:p>
    <w:p>
      <w:pPr>
        <w:pStyle w:val="ListBullet"/>
      </w:pPr>
      <w:r>
        <w:rPr>
          <w:b/>
          <w:color w:val="0D9488"/>
          <w:sz w:val="18"/>
        </w:rPr>
        <w:t xml:space="preserve">已核实 VERIFIED  </w:t>
      </w:r>
      <w:r>
        <w:rPr>
          <w:sz w:val="20"/>
        </w:rPr>
        <w:t>Canonical human protein registered under UniProt P04626 (Receptor tyrosine-protein kinase erbB-2)</w:t>
      </w:r>
      <w:r>
        <w:rPr>
          <w:color w:val="525F6F"/>
          <w:sz w:val="16"/>
        </w:rPr>
        <w:t xml:space="preserve">  — uniprot_search returns P04626</w:t>
      </w:r>
    </w:p>
    <w:p>
      <w:pPr>
        <w:pStyle w:val="ListBullet"/>
      </w:pPr>
      <w:r>
        <w:rPr>
          <w:b/>
          <w:color w:val="0D9488"/>
          <w:sz w:val="18"/>
        </w:rPr>
        <w:t xml:space="preserve">已核实 VERIFIED  </w:t>
      </w:r>
      <w:r>
        <w:rPr>
          <w:sz w:val="20"/>
        </w:rPr>
        <w:t>AlphaFold model AF-P04626-F1-model_v6 with mean pLDDT 74.0, confident range (70-90)</w:t>
      </w:r>
      <w:r>
        <w:rPr>
          <w:color w:val="525F6F"/>
          <w:sz w:val="16"/>
        </w:rPr>
        <w:t xml:space="preserve">  — alphafold_structure mean_plddt 74.0, confidence_band confident</w:t>
      </w:r>
    </w:p>
    <w:p>
      <w:pPr>
        <w:pStyle w:val="ListBullet"/>
      </w:pPr>
      <w:r>
        <w:rPr>
          <w:b/>
          <w:color w:val="0D9488"/>
          <w:sz w:val="18"/>
        </w:rPr>
        <w:t xml:space="preserve">已核实 VERIFIED  </w:t>
      </w:r>
      <w:r>
        <w:rPr>
          <w:sz w:val="20"/>
        </w:rPr>
        <w:t>PDB 1N8Z X-ray at 2.52 Å, HER2 ECD with Herceptin (trastuzumab) Fab</w:t>
      </w:r>
      <w:r>
        <w:rPr>
          <w:color w:val="525F6F"/>
          <w:sz w:val="16"/>
        </w:rPr>
        <w:t xml:space="preserve">  — pdb_search top_entries 1N8Z 2.52</w:t>
      </w:r>
    </w:p>
    <w:p>
      <w:pPr>
        <w:pStyle w:val="ListBullet"/>
      </w:pPr>
      <w:r>
        <w:rPr>
          <w:b/>
          <w:color w:val="0D9488"/>
          <w:sz w:val="18"/>
        </w:rPr>
        <w:t xml:space="preserve">已核实 VERIFIED  </w:t>
      </w:r>
      <w:r>
        <w:rPr>
          <w:sz w:val="20"/>
        </w:rPr>
        <w:t>PDB 5KWG X-ray at 4.3 Å, full ECD in complex with Fcab H10-03-6</w:t>
      </w:r>
      <w:r>
        <w:rPr>
          <w:color w:val="525F6F"/>
          <w:sz w:val="16"/>
        </w:rPr>
        <w:t xml:space="preserve">  — pdb_search 5KWG 4.3</w:t>
      </w:r>
    </w:p>
    <w:p>
      <w:pPr>
        <w:pStyle w:val="ListBullet"/>
      </w:pPr>
      <w:r>
        <w:rPr>
          <w:b/>
          <w:color w:val="0D9488"/>
          <w:sz w:val="18"/>
        </w:rPr>
        <w:t xml:space="preserve">已核实 VERIFIED  </w:t>
      </w:r>
      <w:r>
        <w:rPr>
          <w:sz w:val="20"/>
        </w:rPr>
        <w:t>Ternary HER2 ECD + trastuzumab Fab + pertuzumab Fab resolved by cryo-EM at 4.36 Å, PDB 6OGE</w:t>
      </w:r>
      <w:r>
        <w:rPr>
          <w:color w:val="525F6F"/>
          <w:sz w:val="16"/>
        </w:rPr>
        <w:t xml:space="preserve">  — pdb_search 6OGE 4.36 ELECTRON MICROSCOPY</w:t>
      </w:r>
    </w:p>
    <w:p>
      <w:pPr>
        <w:pStyle w:val="ListBullet"/>
      </w:pPr>
      <w:r>
        <w:rPr>
          <w:b/>
          <w:color w:val="0D9488"/>
          <w:sz w:val="18"/>
        </w:rPr>
        <w:t xml:space="preserve">已核实 VERIFIED  </w:t>
      </w:r>
      <w:r>
        <w:rPr>
          <w:sz w:val="20"/>
        </w:rPr>
        <w:t>Transmembrane domain dimer captured in NMR structure PDB 2N2A</w:t>
      </w:r>
      <w:r>
        <w:rPr>
          <w:color w:val="525F6F"/>
          <w:sz w:val="16"/>
        </w:rPr>
        <w:t xml:space="preserve">  — 2N2A not in any evidence returned · tool-grounded in full evidence (rescued from truncated-evidence false flag)</w:t>
      </w:r>
    </w:p>
    <w:p>
      <w:pPr>
        <w:pStyle w:val="ListBullet"/>
      </w:pPr>
      <w:r>
        <w:rPr>
          <w:b/>
          <w:color w:val="0D9488"/>
          <w:sz w:val="18"/>
        </w:rPr>
        <w:t xml:space="preserve">已核实 VERIFIED  </w:t>
      </w:r>
      <w:r>
        <w:rPr>
          <w:sz w:val="20"/>
        </w:rPr>
        <w:t>PDB 6J71 HuA21-scFv/ECD complex X-ray 2.918 Å</w:t>
      </w:r>
      <w:r>
        <w:rPr>
          <w:color w:val="525F6F"/>
          <w:sz w:val="16"/>
        </w:rPr>
        <w:t xml:space="preserve">  — 6J71 not in evidence · tool-grounded in full evidence (rescued from truncated-evidence false flag)</w:t>
      </w:r>
    </w:p>
    <w:p>
      <w:pPr>
        <w:pStyle w:val="ListBullet"/>
      </w:pPr>
      <w:r>
        <w:rPr>
          <w:b/>
          <w:color w:val="0D9488"/>
          <w:sz w:val="18"/>
        </w:rPr>
        <w:t xml:space="preserve">已核实 VERIFIED  </w:t>
      </w:r>
      <w:r>
        <w:rPr>
          <w:sz w:val="20"/>
        </w:rPr>
        <w:t>PDB 4HRN X-ray 2.65 Å</w:t>
      </w:r>
      <w:r>
        <w:rPr>
          <w:color w:val="525F6F"/>
          <w:sz w:val="16"/>
        </w:rPr>
        <w:t xml:space="preserve">  — 4HRN not in evidence · tool-grounded in full evidence (rescued from truncated-evidence false flag)</w:t>
      </w:r>
    </w:p>
    <w:p>
      <w:pPr>
        <w:pStyle w:val="ListBullet"/>
      </w:pPr>
      <w:r>
        <w:rPr>
          <w:b/>
          <w:color w:val="0D9488"/>
          <w:sz w:val="18"/>
        </w:rPr>
        <w:t xml:space="preserve">已核实 VERIFIED  </w:t>
      </w:r>
      <w:r>
        <w:rPr>
          <w:sz w:val="20"/>
        </w:rPr>
        <w:t>ERBB2 Ensembl ID is ENSG00000141736</w:t>
      </w:r>
      <w:r>
        <w:rPr>
          <w:color w:val="525F6F"/>
          <w:sz w:val="16"/>
        </w:rPr>
        <w:t xml:space="preserve">  — opentargets_target</w:t>
      </w:r>
    </w:p>
    <w:p>
      <w:pPr>
        <w:pStyle w:val="ListBullet"/>
      </w:pPr>
      <w:r>
        <w:rPr>
          <w:b/>
          <w:color w:val="0D9488"/>
          <w:sz w:val="18"/>
        </w:rPr>
        <w:t xml:space="preserve">已核实 VERIFIED  </w:t>
      </w:r>
      <w:r>
        <w:rPr>
          <w:sz w:val="20"/>
        </w:rPr>
        <w:t>ERBB2 pan-cancer association score 0.776</w:t>
      </w:r>
      <w:r>
        <w:rPr>
          <w:color w:val="525F6F"/>
          <w:sz w:val="16"/>
        </w:rPr>
        <w:t xml:space="preserve">  — cancer 0.776 in opentargets/score_target</w:t>
      </w:r>
    </w:p>
    <w:p>
      <w:pPr>
        <w:pStyle w:val="ListBullet"/>
      </w:pPr>
      <w:r>
        <w:rPr>
          <w:b/>
          <w:color w:val="0D9488"/>
          <w:sz w:val="18"/>
        </w:rPr>
        <w:t xml:space="preserve">已核实 VERIFIED  </w:t>
      </w:r>
      <w:r>
        <w:rPr>
          <w:sz w:val="20"/>
        </w:rPr>
        <w:t>breast carcinoma score 0.696</w:t>
      </w:r>
      <w:r>
        <w:rPr>
          <w:color w:val="525F6F"/>
          <w:sz w:val="16"/>
        </w:rPr>
        <w:t xml:space="preserve">  — opentargets_target</w:t>
      </w:r>
    </w:p>
    <w:p>
      <w:pPr>
        <w:pStyle w:val="ListBullet"/>
      </w:pPr>
      <w:r>
        <w:rPr>
          <w:b/>
          <w:color w:val="0D9488"/>
          <w:sz w:val="18"/>
        </w:rPr>
        <w:t xml:space="preserve">已核实 VERIFIED  </w:t>
      </w:r>
      <w:r>
        <w:rPr>
          <w:sz w:val="20"/>
        </w:rPr>
        <w:t>breast cancer score 0.634</w:t>
      </w:r>
      <w:r>
        <w:rPr>
          <w:color w:val="525F6F"/>
          <w:sz w:val="16"/>
        </w:rPr>
        <w:t xml:space="preserve">  — opentargets_target</w:t>
      </w:r>
    </w:p>
    <w:p>
      <w:pPr>
        <w:pStyle w:val="ListBullet"/>
      </w:pPr>
      <w:r>
        <w:rPr>
          <w:b/>
          <w:color w:val="0D9488"/>
          <w:sz w:val="18"/>
        </w:rPr>
        <w:t xml:space="preserve">已核实 VERIFIED  </w:t>
      </w:r>
      <w:r>
        <w:rPr>
          <w:sz w:val="20"/>
        </w:rPr>
        <w:t>HER2 Positive Breast Carcinoma score 0.658</w:t>
      </w:r>
      <w:r>
        <w:rPr>
          <w:color w:val="525F6F"/>
          <w:sz w:val="16"/>
        </w:rPr>
        <w:t xml:space="preserve">  — opentargets_target</w:t>
      </w:r>
    </w:p>
    <w:p>
      <w:pPr>
        <w:pStyle w:val="ListBullet"/>
      </w:pPr>
      <w:r>
        <w:rPr>
          <w:b/>
          <w:color w:val="0D9488"/>
          <w:sz w:val="18"/>
        </w:rPr>
        <w:t xml:space="preserve">已核实 VERIFIED  </w:t>
      </w:r>
      <w:r>
        <w:rPr>
          <w:sz w:val="20"/>
        </w:rPr>
        <w:t>association sub-score 100/100 for ERBB2 breast cancer</w:t>
      </w:r>
      <w:r>
        <w:rPr>
          <w:color w:val="525F6F"/>
          <w:sz w:val="16"/>
        </w:rPr>
        <w:t xml:space="preserve">  — score_target scores.association 100</w:t>
      </w:r>
    </w:p>
    <w:p>
      <w:pPr>
        <w:pStyle w:val="ListBullet"/>
      </w:pPr>
      <w:r>
        <w:rPr>
          <w:b/>
          <w:color w:val="0D9488"/>
          <w:sz w:val="18"/>
        </w:rPr>
        <w:t xml:space="preserve">已核实 VERIFIED  </w:t>
      </w:r>
      <w:r>
        <w:rPr>
          <w:sz w:val="20"/>
        </w:rPr>
        <w:t>ERBB2 tractable across AB, OC, PR, SM modalities</w:t>
      </w:r>
      <w:r>
        <w:rPr>
          <w:color w:val="525F6F"/>
          <w:sz w:val="16"/>
        </w:rPr>
        <w:t xml:space="preserve">  — opentargets tractable_modalities</w:t>
      </w:r>
    </w:p>
    <w:p>
      <w:pPr>
        <w:pStyle w:val="ListBullet"/>
      </w:pPr>
      <w:r>
        <w:rPr>
          <w:b/>
          <w:color w:val="0D9488"/>
          <w:sz w:val="18"/>
        </w:rPr>
        <w:t xml:space="preserve">已核实 VERIFIED  </w:t>
      </w:r>
      <w:r>
        <w:rPr>
          <w:sz w:val="20"/>
        </w:rPr>
        <w:t>Pharos development level Tclin</w:t>
      </w:r>
      <w:r>
        <w:rPr>
          <w:color w:val="525F6F"/>
          <w:sz w:val="16"/>
        </w:rPr>
        <w:t xml:space="preserve">  — score_bases tractability Pharos TDL Tclin</w:t>
      </w:r>
    </w:p>
    <w:p>
      <w:pPr>
        <w:pStyle w:val="ListBullet"/>
      </w:pPr>
      <w:r>
        <w:rPr>
          <w:b/>
          <w:color w:val="0D9488"/>
          <w:sz w:val="18"/>
        </w:rPr>
        <w:t xml:space="preserve">已核实 VERIFIED  </w:t>
      </w:r>
      <w:r>
        <w:rPr>
          <w:sz w:val="20"/>
        </w:rPr>
        <w:t>tractability sub-score 92/100</w:t>
      </w:r>
      <w:r>
        <w:rPr>
          <w:color w:val="525F6F"/>
          <w:sz w:val="16"/>
        </w:rPr>
        <w:t xml:space="preserve">  — score_target scores.tractability 92</w:t>
      </w:r>
    </w:p>
    <w:p>
      <w:pPr>
        <w:pStyle w:val="ListBullet"/>
      </w:pPr>
      <w:r>
        <w:rPr>
          <w:b/>
          <w:color w:val="0D9488"/>
          <w:sz w:val="18"/>
        </w:rPr>
        <w:t xml:space="preserve">已核实 VERIFIED  </w:t>
      </w:r>
      <w:r>
        <w:rPr>
          <w:sz w:val="20"/>
        </w:rPr>
        <w:t>MSK-IMPACT 2017 cohort n=10,945 samples</w:t>
      </w:r>
      <w:r>
        <w:rPr>
          <w:color w:val="525F6F"/>
          <w:sz w:val="16"/>
        </w:rPr>
        <w:t xml:space="preserve">  — cbioportal cohort_samples</w:t>
      </w:r>
    </w:p>
    <w:p>
      <w:pPr>
        <w:pStyle w:val="ListBullet"/>
      </w:pPr>
      <w:r>
        <w:rPr>
          <w:b/>
          <w:color w:val="0D9488"/>
          <w:sz w:val="18"/>
        </w:rPr>
        <w:t xml:space="preserve">已核实 VERIFIED  </w:t>
      </w:r>
      <w:r>
        <w:rPr>
          <w:sz w:val="20"/>
        </w:rPr>
        <w:t>ERBB2 mutated in 2.95% (323/10,945)</w:t>
      </w:r>
      <w:r>
        <w:rPr>
          <w:color w:val="525F6F"/>
          <w:sz w:val="16"/>
        </w:rPr>
        <w:t xml:space="preserve">  — cbioportal mutation_frequency_pct</w:t>
      </w:r>
    </w:p>
    <w:p>
      <w:pPr>
        <w:pStyle w:val="ListBullet"/>
      </w:pPr>
      <w:r>
        <w:rPr>
          <w:b/>
          <w:color w:val="0D9488"/>
          <w:sz w:val="18"/>
        </w:rPr>
        <w:t xml:space="preserve">已核实 VERIFIED  </w:t>
      </w:r>
      <w:r>
        <w:rPr>
          <w:sz w:val="20"/>
        </w:rPr>
        <w:t>missense 293 samples (2.68%)</w:t>
      </w:r>
      <w:r>
        <w:rPr>
          <w:color w:val="525F6F"/>
          <w:sz w:val="16"/>
        </w:rPr>
        <w:t xml:space="preserve">  — cbioportal by_mutation_class</w:t>
      </w:r>
    </w:p>
    <w:p>
      <w:pPr>
        <w:pStyle w:val="ListBullet"/>
      </w:pPr>
      <w:r>
        <w:rPr>
          <w:b/>
          <w:color w:val="0D9488"/>
          <w:sz w:val="18"/>
        </w:rPr>
        <w:t xml:space="preserve">已核实 VERIFIED  </w:t>
      </w:r>
      <w:r>
        <w:rPr>
          <w:sz w:val="20"/>
        </w:rPr>
        <w:t>in-frame insertions 50 samples (0.46%)</w:t>
      </w:r>
      <w:r>
        <w:rPr>
          <w:color w:val="525F6F"/>
          <w:sz w:val="16"/>
        </w:rPr>
        <w:t xml:space="preserve">  — cbioportal In_Frame_Ins</w:t>
      </w:r>
    </w:p>
    <w:p>
      <w:pPr>
        <w:pStyle w:val="ListBullet"/>
      </w:pPr>
      <w:r>
        <w:rPr>
          <w:b/>
          <w:color w:val="0D9488"/>
          <w:sz w:val="18"/>
        </w:rPr>
        <w:t xml:space="preserve">已核实 VERIFIED  </w:t>
      </w:r>
      <w:r>
        <w:rPr>
          <w:sz w:val="20"/>
        </w:rPr>
        <w:t>S310F 49 samples 0.45%</w:t>
      </w:r>
      <w:r>
        <w:rPr>
          <w:color w:val="525F6F"/>
          <w:sz w:val="16"/>
        </w:rPr>
        <w:t xml:space="preserve">  — cbioportal top_alterations</w:t>
      </w:r>
    </w:p>
    <w:p>
      <w:pPr>
        <w:pStyle w:val="ListBullet"/>
      </w:pPr>
      <w:r>
        <w:rPr>
          <w:b/>
          <w:color w:val="0D9488"/>
          <w:sz w:val="18"/>
        </w:rPr>
        <w:t xml:space="preserve">已核实 VERIFIED  </w:t>
      </w:r>
      <w:r>
        <w:rPr>
          <w:sz w:val="20"/>
        </w:rPr>
        <w:t>Y772_A775dup 32 samples 0.29%</w:t>
      </w:r>
      <w:r>
        <w:rPr>
          <w:color w:val="525F6F"/>
          <w:sz w:val="16"/>
        </w:rPr>
        <w:t xml:space="preserve">  — cbioportal</w:t>
      </w:r>
    </w:p>
    <w:p>
      <w:pPr>
        <w:pStyle w:val="ListBullet"/>
      </w:pPr>
      <w:r>
        <w:rPr>
          <w:b/>
          <w:color w:val="0D9488"/>
          <w:sz w:val="18"/>
        </w:rPr>
        <w:t xml:space="preserve">已核实 VERIFIED  </w:t>
      </w:r>
      <w:r>
        <w:rPr>
          <w:sz w:val="20"/>
        </w:rPr>
        <w:t>L755S 22 samples 0.20%</w:t>
      </w:r>
      <w:r>
        <w:rPr>
          <w:color w:val="525F6F"/>
          <w:sz w:val="16"/>
        </w:rPr>
        <w:t xml:space="preserve">  — cbioportal</w:t>
      </w:r>
    </w:p>
    <w:p>
      <w:pPr>
        <w:pStyle w:val="ListBullet"/>
      </w:pPr>
      <w:r>
        <w:rPr>
          <w:b/>
          <w:color w:val="0D9488"/>
          <w:sz w:val="18"/>
        </w:rPr>
        <w:t xml:space="preserve">已核实 VERIFIED  </w:t>
      </w:r>
      <w:r>
        <w:rPr>
          <w:sz w:val="20"/>
        </w:rPr>
        <w:t>V777L 10 samples 0.09%</w:t>
      </w:r>
      <w:r>
        <w:rPr>
          <w:color w:val="525F6F"/>
          <w:sz w:val="16"/>
        </w:rPr>
        <w:t xml:space="preserve">  — cbioportal</w:t>
      </w:r>
    </w:p>
    <w:p>
      <w:pPr>
        <w:pStyle w:val="ListBullet"/>
      </w:pPr>
      <w:r>
        <w:rPr>
          <w:b/>
          <w:color w:val="0D9488"/>
          <w:sz w:val="18"/>
        </w:rPr>
        <w:t xml:space="preserve">已核实 VERIFIED  </w:t>
      </w:r>
      <w:r>
        <w:rPr>
          <w:sz w:val="20"/>
        </w:rPr>
        <w:t>dependency sub-score 60/100</w:t>
      </w:r>
      <w:r>
        <w:rPr>
          <w:color w:val="525F6F"/>
          <w:sz w:val="16"/>
        </w:rPr>
        <w:t xml:space="preserve">  — score_target scores.dependency 60</w:t>
      </w:r>
    </w:p>
    <w:p>
      <w:pPr>
        <w:pStyle w:val="ListBullet"/>
      </w:pPr>
      <w:r>
        <w:rPr>
          <w:b/>
          <w:color w:val="0D9488"/>
          <w:sz w:val="18"/>
        </w:rPr>
        <w:t xml:space="preserve">已核实 VERIFIED  </w:t>
      </w:r>
      <w:r>
        <w:rPr>
          <w:sz w:val="20"/>
        </w:rPr>
        <w:t>15% of cell lines dependent on ERBB2</w:t>
      </w:r>
      <w:r>
        <w:rPr>
          <w:color w:val="525F6F"/>
          <w:sz w:val="16"/>
        </w:rPr>
        <w:t xml:space="preserve">  — score_bases dependency / depmap_fraction_dependent 0.15</w:t>
      </w:r>
    </w:p>
    <w:p>
      <w:pPr>
        <w:pStyle w:val="ListBullet"/>
      </w:pPr>
      <w:r>
        <w:rPr>
          <w:b/>
          <w:color w:val="0D9488"/>
          <w:sz w:val="18"/>
        </w:rPr>
        <w:t xml:space="preserve">已核实 VERIFIED  </w:t>
      </w:r>
      <w:r>
        <w:rPr>
          <w:sz w:val="20"/>
        </w:rPr>
        <w:t>ERBB2 pLI is 0.25 (intermediate constraint)</w:t>
      </w:r>
      <w:r>
        <w:rPr>
          <w:color w:val="525F6F"/>
          <w:sz w:val="16"/>
        </w:rPr>
        <w:t xml:space="preserve">  — score_bases genetic pLI 0.25</w:t>
      </w:r>
    </w:p>
    <w:p>
      <w:pPr>
        <w:pStyle w:val="ListBullet"/>
      </w:pPr>
      <w:r>
        <w:rPr>
          <w:b/>
          <w:color w:val="0D9488"/>
          <w:sz w:val="18"/>
        </w:rPr>
        <w:t xml:space="preserve">已核实 VERIFIED  </w:t>
      </w:r>
      <w:r>
        <w:rPr>
          <w:sz w:val="20"/>
        </w:rPr>
        <w:t>genetic sub-score 58/100</w:t>
      </w:r>
      <w:r>
        <w:rPr>
          <w:color w:val="525F6F"/>
          <w:sz w:val="16"/>
        </w:rPr>
        <w:t xml:space="preserve">  — score_target scores.genetic 58</w:t>
      </w:r>
    </w:p>
    <w:p>
      <w:pPr>
        <w:pStyle w:val="ListBullet"/>
      </w:pPr>
      <w:r>
        <w:rPr>
          <w:b/>
          <w:color w:val="0D9488"/>
          <w:sz w:val="18"/>
        </w:rPr>
        <w:t xml:space="preserve">已核实 VERIFIED  </w:t>
      </w:r>
      <w:r>
        <w:rPr>
          <w:sz w:val="20"/>
        </w:rPr>
        <w:t>ADC modality score 70.2/100</w:t>
      </w:r>
      <w:r>
        <w:rPr>
          <w:color w:val="525F6F"/>
          <w:sz w:val="16"/>
        </w:rPr>
        <w:t xml:space="preserve">  — modality_scores.adc 70.2</w:t>
      </w:r>
    </w:p>
    <w:p>
      <w:pPr>
        <w:pStyle w:val="ListBullet"/>
      </w:pPr>
      <w:r>
        <w:rPr>
          <w:b/>
          <w:color w:val="0D9488"/>
          <w:sz w:val="18"/>
        </w:rPr>
        <w:t xml:space="preserve">已核实 VERIFIED  </w:t>
      </w:r>
      <w:r>
        <w:rPr>
          <w:sz w:val="20"/>
        </w:rPr>
        <w:t>safety sub-score 30/100, vital-tissue peak 64.82 TPM</w:t>
      </w:r>
      <w:r>
        <w:rPr>
          <w:color w:val="525F6F"/>
          <w:sz w:val="16"/>
        </w:rPr>
        <w:t xml:space="preserve">  — score_target safety 30, score_bases 64.82 TPM</w:t>
      </w:r>
    </w:p>
    <w:p>
      <w:pPr>
        <w:pStyle w:val="ListBullet"/>
      </w:pPr>
      <w:r>
        <w:rPr>
          <w:b/>
          <w:color w:val="0D9488"/>
          <w:sz w:val="18"/>
        </w:rPr>
        <w:t xml:space="preserve">已核实 VERIFIED  </w:t>
      </w:r>
      <w:r>
        <w:rPr>
          <w:sz w:val="20"/>
        </w:rPr>
        <w:t>HER2/ERBB2 has low tissue specificity per HPA</w:t>
      </w:r>
      <w:r>
        <w:rPr>
          <w:color w:val="525F6F"/>
          <w:sz w:val="16"/>
        </w:rPr>
        <w:t xml:space="preserve">  — HPA: rna_tissue_specificity 'Low tissue specificity'</w:t>
      </w:r>
    </w:p>
    <w:p>
      <w:pPr>
        <w:pStyle w:val="ListBullet"/>
      </w:pPr>
      <w:r>
        <w:rPr>
          <w:b/>
          <w:color w:val="0D9488"/>
          <w:sz w:val="18"/>
        </w:rPr>
        <w:t xml:space="preserve">已核实 VERIFIED  </w:t>
      </w:r>
      <w:r>
        <w:rPr>
          <w:sz w:val="20"/>
        </w:rPr>
        <w:t>RNA 'Detected in all' tissues per HPA</w:t>
      </w:r>
      <w:r>
        <w:rPr>
          <w:color w:val="525F6F"/>
          <w:sz w:val="16"/>
        </w:rPr>
        <w:t xml:space="preserve">  — HPA rna_tissue_distribution 'Detected in all'</w:t>
      </w:r>
    </w:p>
    <w:p>
      <w:pPr>
        <w:pStyle w:val="ListBullet"/>
      </w:pPr>
      <w:r>
        <w:rPr>
          <w:b/>
          <w:color w:val="0D9488"/>
          <w:sz w:val="18"/>
        </w:rPr>
        <w:t xml:space="preserve">已核实 VERIFIED  </w:t>
      </w:r>
      <w:r>
        <w:rPr>
          <w:sz w:val="20"/>
        </w:rPr>
        <w:t>ERBB2 Ensembl ID ENSG00000141736</w:t>
      </w:r>
      <w:r>
        <w:rPr>
          <w:color w:val="525F6F"/>
          <w:sz w:val="16"/>
        </w:rPr>
        <w:t xml:space="preserve">  — HPA ensembl matches</w:t>
      </w:r>
    </w:p>
    <w:p>
      <w:pPr>
        <w:pStyle w:val="ListBullet"/>
      </w:pPr>
      <w:r>
        <w:rPr>
          <w:b/>
          <w:color w:val="0D9488"/>
          <w:sz w:val="18"/>
        </w:rPr>
        <w:t xml:space="preserve">已核实 VERIFIED  </w:t>
      </w:r>
      <w:r>
        <w:rPr>
          <w:sz w:val="20"/>
        </w:rPr>
        <w:t>ERBB2 UniProt P04626</w:t>
      </w:r>
      <w:r>
        <w:rPr>
          <w:color w:val="525F6F"/>
          <w:sz w:val="16"/>
        </w:rPr>
        <w:t xml:space="preserve">  — UniProt ID not in evidence; ERBB2 UniProt is P04626 (general knowledge but stated as specific ID) · tool-grounded in full evidence (rescued from truncated-evidence false flag)</w:t>
      </w:r>
    </w:p>
    <w:p>
      <w:pPr>
        <w:pStyle w:val="ListBullet"/>
      </w:pPr>
      <w:r>
        <w:rPr>
          <w:b/>
          <w:color w:val="0D9488"/>
          <w:sz w:val="18"/>
        </w:rPr>
        <w:t xml:space="preserve">已核实 VERIFIED  </w:t>
      </w:r>
      <w:r>
        <w:rPr>
          <w:sz w:val="20"/>
        </w:rPr>
        <w:t>Subcellular localization plasma membrane</w:t>
      </w:r>
      <w:r>
        <w:rPr>
          <w:color w:val="525F6F"/>
          <w:sz w:val="16"/>
        </w:rPr>
        <w:t xml:space="preserve">  — HPA subcellular_location 'Plasma membrane'</w:t>
      </w:r>
    </w:p>
    <w:p>
      <w:pPr>
        <w:pStyle w:val="ListBullet"/>
      </w:pPr>
      <w:r>
        <w:rPr>
          <w:b/>
          <w:color w:val="0D9488"/>
          <w:sz w:val="18"/>
        </w:rPr>
        <w:t xml:space="preserve">已核实 VERIFIED  </w:t>
      </w:r>
      <w:r>
        <w:rPr>
          <w:sz w:val="20"/>
        </w:rPr>
        <w:t>GTEx v8 across 54 normal tissues, gencode ENSG00000141736.13</w:t>
      </w:r>
      <w:r>
        <w:rPr>
          <w:color w:val="525F6F"/>
          <w:sz w:val="16"/>
        </w:rPr>
        <w:t xml:space="preserve">  — matches GTEx evidence n_tissues 54 and gencode_id</w:t>
      </w:r>
    </w:p>
    <w:p>
      <w:pPr>
        <w:pStyle w:val="ListBullet"/>
      </w:pPr>
      <w:r>
        <w:rPr>
          <w:b/>
          <w:color w:val="0D9488"/>
          <w:sz w:val="18"/>
        </w:rPr>
        <w:t xml:space="preserve">已核实 VERIFIED  </w:t>
      </w:r>
      <w:r>
        <w:rPr>
          <w:sz w:val="20"/>
        </w:rPr>
        <w:t>Nerve_Tibial 130.13 TPM</w:t>
      </w:r>
      <w:r>
        <w:rPr>
          <w:color w:val="525F6F"/>
          <w:sz w:val="16"/>
        </w:rPr>
        <w:t xml:space="preserve">  — GTEx top value matches</w:t>
      </w:r>
    </w:p>
    <w:p>
      <w:pPr>
        <w:pStyle w:val="ListBullet"/>
      </w:pPr>
      <w:r>
        <w:rPr>
          <w:b/>
          <w:color w:val="0D9488"/>
          <w:sz w:val="18"/>
        </w:rPr>
        <w:t xml:space="preserve">已核实 VERIFIED  </w:t>
      </w:r>
      <w:r>
        <w:rPr>
          <w:sz w:val="20"/>
        </w:rPr>
        <w:t>Skin_Sun_Exposed_Lower_leg 118.26 TPM</w:t>
      </w:r>
      <w:r>
        <w:rPr>
          <w:color w:val="525F6F"/>
          <w:sz w:val="16"/>
        </w:rPr>
        <w:t xml:space="preserve">  — matches GTEx</w:t>
      </w:r>
    </w:p>
    <w:p>
      <w:pPr>
        <w:pStyle w:val="ListBullet"/>
      </w:pPr>
      <w:r>
        <w:rPr>
          <w:b/>
          <w:color w:val="0D9488"/>
          <w:sz w:val="18"/>
        </w:rPr>
        <w:t xml:space="preserve">已核实 VERIFIED  </w:t>
      </w:r>
      <w:r>
        <w:rPr>
          <w:sz w:val="20"/>
        </w:rPr>
        <w:t>Esophagus_Mucosa 113.10 TPM</w:t>
      </w:r>
      <w:r>
        <w:rPr>
          <w:color w:val="525F6F"/>
          <w:sz w:val="16"/>
        </w:rPr>
        <w:t xml:space="preserve">  — matches GTEx</w:t>
      </w:r>
    </w:p>
    <w:p>
      <w:pPr>
        <w:pStyle w:val="ListBullet"/>
      </w:pPr>
      <w:r>
        <w:rPr>
          <w:b/>
          <w:color w:val="0D9488"/>
          <w:sz w:val="18"/>
        </w:rPr>
        <w:t xml:space="preserve">已核实 VERIFIED  </w:t>
      </w:r>
      <w:r>
        <w:rPr>
          <w:sz w:val="20"/>
        </w:rPr>
        <w:t>Skin_Not_Sun_Exposed_Suprapubic 110.94 TPM</w:t>
      </w:r>
      <w:r>
        <w:rPr>
          <w:color w:val="525F6F"/>
          <w:sz w:val="16"/>
        </w:rPr>
        <w:t xml:space="preserve">  — matches GTEx</w:t>
      </w:r>
    </w:p>
    <w:p>
      <w:pPr>
        <w:pStyle w:val="ListBullet"/>
      </w:pPr>
      <w:r>
        <w:rPr>
          <w:b/>
          <w:color w:val="0D9488"/>
          <w:sz w:val="18"/>
        </w:rPr>
        <w:t xml:space="preserve">已核实 VERIFIED  </w:t>
      </w:r>
      <w:r>
        <w:rPr>
          <w:sz w:val="20"/>
        </w:rPr>
        <w:t>Thyroid 99.31 TPM</w:t>
      </w:r>
      <w:r>
        <w:rPr>
          <w:color w:val="525F6F"/>
          <w:sz w:val="16"/>
        </w:rPr>
        <w:t xml:space="preserve">  — matches GTEx</w:t>
      </w:r>
    </w:p>
    <w:p>
      <w:pPr>
        <w:pStyle w:val="ListBullet"/>
      </w:pPr>
      <w:r>
        <w:rPr>
          <w:b/>
          <w:color w:val="0D9488"/>
          <w:sz w:val="18"/>
        </w:rPr>
        <w:t xml:space="preserve">已核实 VERIFIED  </w:t>
      </w:r>
      <w:r>
        <w:rPr>
          <w:sz w:val="20"/>
        </w:rPr>
        <w:t>Prostate 83.77 TPM</w:t>
      </w:r>
      <w:r>
        <w:rPr>
          <w:color w:val="525F6F"/>
          <w:sz w:val="16"/>
        </w:rPr>
        <w:t xml:space="preserve">  — matches GTEx</w:t>
      </w:r>
    </w:p>
    <w:p>
      <w:pPr>
        <w:pStyle w:val="ListBullet"/>
      </w:pPr>
      <w:r>
        <w:rPr>
          <w:b/>
          <w:color w:val="0D9488"/>
          <w:sz w:val="18"/>
        </w:rPr>
        <w:t xml:space="preserve">已核实 VERIFIED  </w:t>
      </w:r>
      <w:r>
        <w:rPr>
          <w:sz w:val="20"/>
        </w:rPr>
        <w:t>Kidney_Medulla 64.82 TPM</w:t>
      </w:r>
      <w:r>
        <w:rPr>
          <w:color w:val="525F6F"/>
          <w:sz w:val="16"/>
        </w:rPr>
        <w:t xml:space="preserve">  — matches GTEx</w:t>
      </w:r>
    </w:p>
    <w:p>
      <w:pPr>
        <w:pStyle w:val="ListBullet"/>
      </w:pPr>
      <w:r>
        <w:rPr>
          <w:b/>
          <w:color w:val="0D9488"/>
          <w:sz w:val="18"/>
        </w:rPr>
        <w:t xml:space="preserve">已核实 VERIFIED  </w:t>
      </w:r>
      <w:r>
        <w:rPr>
          <w:sz w:val="20"/>
        </w:rPr>
        <w:t>Cervix_Ectocervix 60.61 TPM</w:t>
      </w:r>
      <w:r>
        <w:rPr>
          <w:color w:val="525F6F"/>
          <w:sz w:val="16"/>
        </w:rPr>
        <w:t xml:space="preserve">  — matches GTEx</w:t>
      </w:r>
    </w:p>
    <w:p>
      <w:pPr>
        <w:pStyle w:val="ListBullet"/>
      </w:pPr>
      <w:r>
        <w:rPr>
          <w:b/>
          <w:color w:val="0D9488"/>
          <w:sz w:val="18"/>
        </w:rPr>
        <w:t xml:space="preserve">已核实 VERIFIED  </w:t>
      </w:r>
      <w:r>
        <w:rPr>
          <w:sz w:val="20"/>
        </w:rPr>
        <w:t>Cardiac and lung tissues not among top 12 returned</w:t>
      </w:r>
      <w:r>
        <w:rPr>
          <w:color w:val="525F6F"/>
          <w:sz w:val="16"/>
        </w:rPr>
        <w:t xml:space="preserve">  — GTEx top list does not include heart/lung</w:t>
      </w:r>
    </w:p>
    <w:p>
      <w:pPr>
        <w:pStyle w:val="ListBullet"/>
      </w:pPr>
      <w:r>
        <w:rPr>
          <w:b/>
          <w:color w:val="0D9488"/>
          <w:sz w:val="18"/>
        </w:rPr>
        <w:t xml:space="preserve">已核实 VERIFIED  </w:t>
      </w:r>
      <w:r>
        <w:rPr>
          <w:sz w:val="20"/>
        </w:rPr>
        <w:t>T-DXd is a HER2-directed ADC (binding agent for ERBB2)</w:t>
      </w:r>
      <w:r>
        <w:rPr>
          <w:color w:val="525F6F"/>
          <w:sz w:val="16"/>
        </w:rPr>
        <w:t xml:space="preserve">  — clinical_precedent CHEMBL1824 lists TRASTUZUMAB DERUXTECAN as binding agent</w:t>
      </w:r>
    </w:p>
    <w:p>
      <w:pPr>
        <w:pStyle w:val="ListBullet"/>
      </w:pPr>
      <w:r>
        <w:rPr>
          <w:b/>
          <w:color w:val="0D9488"/>
          <w:sz w:val="18"/>
        </w:rPr>
        <w:t xml:space="preserve">已核实 VERIFIED  </w:t>
      </w:r>
      <w:r>
        <w:rPr>
          <w:sz w:val="20"/>
        </w:rPr>
        <w:t>T-DXd is approved (max phase 4)</w:t>
      </w:r>
      <w:r>
        <w:rPr>
          <w:color w:val="525F6F"/>
          <w:sz w:val="16"/>
        </w:rPr>
        <w:t xml:space="preserve">  — ChEMBL lists max_phase 4.0</w:t>
      </w:r>
    </w:p>
    <w:p>
      <w:pPr>
        <w:pStyle w:val="ListBullet"/>
      </w:pPr>
      <w:r>
        <w:rPr>
          <w:b/>
          <w:color w:val="0D9488"/>
          <w:sz w:val="18"/>
        </w:rPr>
        <w:t xml:space="preserve">已核实 VERIFIED  </w:t>
      </w:r>
      <w:r>
        <w:rPr>
          <w:sz w:val="20"/>
        </w:rPr>
        <w:t>DESTINY-Breast04 NCT number is NCT03734029</w:t>
      </w:r>
      <w:r>
        <w:rPr>
          <w:color w:val="525F6F"/>
          <w:sz w:val="16"/>
        </w:rPr>
        <w:t xml:space="preserve">  — evidence titles NCT03734029 as DESTINY-Breast04</w:t>
      </w:r>
    </w:p>
    <w:p>
      <w:pPr>
        <w:pStyle w:val="ListBullet"/>
      </w:pPr>
      <w:r>
        <w:rPr>
          <w:b/>
          <w:color w:val="0D9488"/>
          <w:sz w:val="18"/>
        </w:rPr>
        <w:t xml:space="preserve">已核实 VERIFIED  </w:t>
      </w:r>
      <w:r>
        <w:rPr>
          <w:sz w:val="20"/>
        </w:rPr>
        <w:t>NCT04494425 evaluates T-DXd vs investigator's choice chemotherapy in HER2-low HR+ metastatic breast cancer</w:t>
      </w:r>
      <w:r>
        <w:rPr>
          <w:color w:val="525F6F"/>
          <w:sz w:val="16"/>
        </w:rPr>
        <w:t xml:space="preserve">  — evidence title matches</w:t>
      </w:r>
    </w:p>
    <w:p>
      <w:pPr>
        <w:pStyle w:val="ListBullet"/>
      </w:pPr>
      <w:r>
        <w:rPr>
          <w:b/>
          <w:color w:val="0D9488"/>
          <w:sz w:val="18"/>
        </w:rPr>
        <w:t xml:space="preserve">已核实 VERIFIED  </w:t>
      </w:r>
      <w:r>
        <w:rPr>
          <w:sz w:val="20"/>
        </w:rPr>
        <w:t>T-DM1 is an approved HER2-directed ADC (CHEMBL1824 target)</w:t>
      </w:r>
      <w:r>
        <w:rPr>
          <w:color w:val="525F6F"/>
          <w:sz w:val="16"/>
        </w:rPr>
        <w:t xml:space="preserve">  — ChEMBL lists TRASTUZUMAB EMTANSINE max_phase 4 binding agent</w:t>
      </w:r>
    </w:p>
    <w:p>
      <w:pPr>
        <w:pStyle w:val="ListBullet"/>
      </w:pPr>
      <w:r>
        <w:rPr>
          <w:b/>
          <w:color w:val="0D9488"/>
          <w:sz w:val="18"/>
        </w:rPr>
        <w:t xml:space="preserve">已核实 VERIFIED  </w:t>
      </w:r>
      <w:r>
        <w:rPr>
          <w:sz w:val="20"/>
        </w:rPr>
        <w:t>CHEMBL1824 has 14 approved drugs</w:t>
      </w:r>
      <w:r>
        <w:rPr>
          <w:color w:val="525F6F"/>
          <w:sz w:val="16"/>
        </w:rPr>
        <w:t xml:space="preserve">  — clinical_precedent n_approved 14</w:t>
      </w:r>
    </w:p>
    <w:p>
      <w:pPr>
        <w:pStyle w:val="ListBullet"/>
      </w:pPr>
      <w:r>
        <w:rPr>
          <w:b/>
          <w:color w:val="0D9488"/>
          <w:sz w:val="18"/>
        </w:rPr>
        <w:t xml:space="preserve">已核实 VERIFIED  </w:t>
      </w:r>
      <w:r>
        <w:rPr>
          <w:sz w:val="20"/>
        </w:rPr>
        <w:t>T-DXd + pembrolizumab combination is NCT04042701</w:t>
      </w:r>
      <w:r>
        <w:rPr>
          <w:color w:val="525F6F"/>
          <w:sz w:val="16"/>
        </w:rPr>
        <w:t xml:space="preserve">  — evidence lists NCT04042701 DS8201a and pembrolizumab</w:t>
      </w:r>
    </w:p>
    <w:p>
      <w:pPr>
        <w:pStyle w:val="ListBullet"/>
      </w:pPr>
      <w:r>
        <w:rPr>
          <w:b/>
          <w:color w:val="0D9488"/>
          <w:sz w:val="18"/>
        </w:rPr>
        <w:t xml:space="preserve">已核实 VERIFIED  </w:t>
      </w:r>
      <w:r>
        <w:rPr>
          <w:sz w:val="20"/>
        </w:rPr>
        <w:t>ERBB2 has 40 drugs total, 26 clinical</w:t>
      </w:r>
      <w:r>
        <w:rPr>
          <w:color w:val="525F6F"/>
          <w:sz w:val="16"/>
        </w:rPr>
        <w:t xml:space="preserve">  — clinical_precedent n_drugs 40, n_clinical 26</w:t>
      </w:r>
    </w:p>
    <w:p>
      <w:pPr>
        <w:pStyle w:val="ListBullet"/>
      </w:pPr>
      <w:r>
        <w:rPr>
          <w:b/>
          <w:color w:val="0D9488"/>
          <w:sz w:val="18"/>
        </w:rPr>
        <w:t xml:space="preserve">已核实 VERIFIED  </w:t>
      </w:r>
      <w:r>
        <w:rPr>
          <w:sz w:val="20"/>
        </w:rPr>
        <w:t>HER2-low is defined as IHC 1+ or IHC 2+/ISH non-amplified</w:t>
      </w:r>
      <w:r>
        <w:rPr>
          <w:color w:val="525F6F"/>
          <w:sz w:val="16"/>
        </w:rPr>
        <w:t xml:space="preserve">  — PMID 41595172 and 41033579 define HER2-low as IHC 1+ or IHC 2+/ISH negative</w:t>
      </w:r>
    </w:p>
    <w:p>
      <w:pPr>
        <w:pStyle w:val="ListBullet"/>
      </w:pPr>
      <w:r>
        <w:rPr>
          <w:b/>
          <w:color w:val="0D9488"/>
          <w:sz w:val="18"/>
        </w:rPr>
        <w:t xml:space="preserve">已核实 VERIFIED  </w:t>
      </w:r>
      <w:r>
        <w:rPr>
          <w:sz w:val="20"/>
        </w:rPr>
        <w:t>HER2 scoring follows ASCO/CAP 2018 guidelines</w:t>
      </w:r>
      <w:r>
        <w:rPr>
          <w:color w:val="525F6F"/>
          <w:sz w:val="16"/>
        </w:rPr>
        <w:t xml:space="preserve">  — PMID 40441445 references ASCO/CAP 2018 (and 2023) guidelines</w:t>
      </w:r>
    </w:p>
    <w:p>
      <w:pPr>
        <w:pStyle w:val="ListBullet"/>
      </w:pPr>
      <w:r>
        <w:rPr>
          <w:b/>
          <w:color w:val="0D9488"/>
          <w:sz w:val="18"/>
        </w:rPr>
        <w:t xml:space="preserve">已核实 VERIFIED  </w:t>
      </w:r>
      <w:r>
        <w:rPr>
          <w:sz w:val="20"/>
        </w:rPr>
        <w:t>PMID 41446275 used the India Pathology Breast Cancer Dataset with 500 patients HER2 IHC slides</w:t>
      </w:r>
      <w:r>
        <w:rPr>
          <w:color w:val="525F6F"/>
          <w:sz w:val="16"/>
        </w:rPr>
        <w:t xml:space="preserve">  — abstract states India Pathology Breast Cancer Dataset, 500 patients</w:t>
      </w:r>
    </w:p>
    <w:p>
      <w:pPr>
        <w:pStyle w:val="ListBullet"/>
      </w:pPr>
      <w:r>
        <w:rPr>
          <w:b/>
          <w:color w:val="0D9488"/>
          <w:sz w:val="18"/>
        </w:rPr>
        <w:t xml:space="preserve">已核实 VERIFIED  </w:t>
      </w:r>
      <w:r>
        <w:rPr>
          <w:sz w:val="20"/>
        </w:rPr>
        <w:t>Best ConvNeXt model on low-resolution images achieved overall F1 of 83.52%</w:t>
      </w:r>
      <w:r>
        <w:rPr>
          <w:color w:val="525F6F"/>
          <w:sz w:val="16"/>
        </w:rPr>
        <w:t xml:space="preserve">  — abstract states F1 83.52%, ConvNeXt, low-resolution</w:t>
      </w:r>
    </w:p>
    <w:p>
      <w:pPr>
        <w:pStyle w:val="ListBullet"/>
      </w:pPr>
      <w:r>
        <w:rPr>
          <w:b/>
          <w:color w:val="0D9488"/>
          <w:sz w:val="18"/>
        </w:rPr>
        <w:t xml:space="preserve">已核实 VERIFIED  </w:t>
      </w:r>
      <w:r>
        <w:rPr>
          <w:sz w:val="20"/>
        </w:rPr>
        <w:t>+5.35% improvement over patch-based approaches</w:t>
      </w:r>
      <w:r>
        <w:rPr>
          <w:color w:val="525F6F"/>
          <w:sz w:val="16"/>
        </w:rPr>
        <w:t xml:space="preserve">  — abstract states improvement of 5.35% over patch-based methods</w:t>
      </w:r>
    </w:p>
    <w:p>
      <w:pPr>
        <w:pStyle w:val="ListBullet"/>
      </w:pPr>
      <w:r>
        <w:rPr>
          <w:b/>
          <w:color w:val="0D9488"/>
          <w:sz w:val="18"/>
        </w:rPr>
        <w:t xml:space="preserve">已核实 VERIFIED  </w:t>
      </w:r>
      <w:r>
        <w:rPr>
          <w:sz w:val="20"/>
        </w:rPr>
        <w:t>Category-specific F1: HER2-0 75.6%, HER2-low 82.4%, HER2-high 91.5%</w:t>
      </w:r>
      <w:r>
        <w:rPr>
          <w:color w:val="525F6F"/>
          <w:sz w:val="16"/>
        </w:rPr>
        <w:t xml:space="preserve">  — abstract gives these exact F1 scores</w:t>
      </w:r>
    </w:p>
    <w:p>
      <w:pPr>
        <w:pStyle w:val="ListBullet"/>
      </w:pPr>
      <w:r>
        <w:rPr>
          <w:b/>
          <w:color w:val="0D9488"/>
          <w:sz w:val="18"/>
        </w:rPr>
        <w:t xml:space="preserve">已核实 VERIFIED  </w:t>
      </w:r>
      <w:r>
        <w:rPr>
          <w:sz w:val="20"/>
        </w:rPr>
        <w:t>FDA September 2022 expanded approval of legacy Roche 4B5-based IHC assay as CDx for T-DXd in HER2-low</w:t>
      </w:r>
      <w:r>
        <w:rPr>
          <w:color w:val="525F6F"/>
          <w:sz w:val="16"/>
        </w:rPr>
        <w:t xml:space="preserve">  — PMID 42041700 states Sept 2022 FDA expanded approval of 4B5-based IHC assay</w:t>
      </w:r>
    </w:p>
    <w:p>
      <w:pPr>
        <w:pStyle w:val="ListBullet"/>
      </w:pPr>
      <w:r>
        <w:rPr>
          <w:b/>
          <w:color w:val="0D9488"/>
          <w:sz w:val="18"/>
        </w:rPr>
        <w:t xml:space="preserve">已核实 VERIFIED  </w:t>
      </w:r>
      <w:r>
        <w:rPr>
          <w:sz w:val="20"/>
        </w:rPr>
        <w:t>Approval based on DESTINY-Breast04 and DESTINY-Breast06 trials</w:t>
      </w:r>
      <w:r>
        <w:rPr>
          <w:color w:val="525F6F"/>
          <w:sz w:val="16"/>
        </w:rPr>
        <w:t xml:space="preserve">  — PMID 42041700 cites both trials</w:t>
      </w:r>
    </w:p>
    <w:p>
      <w:pPr>
        <w:pStyle w:val="ListBullet"/>
      </w:pPr>
      <w:r>
        <w:rPr>
          <w:b/>
          <w:color w:val="0D9488"/>
          <w:sz w:val="18"/>
        </w:rPr>
        <w:t xml:space="preserve">已核实 VERIFIED  </w:t>
      </w:r>
      <w:r>
        <w:rPr>
          <w:sz w:val="20"/>
        </w:rPr>
        <w:t>The 4B5 assay was originally developed to detect HER2 overexpression (3+) and gene amplification</w:t>
      </w:r>
      <w:r>
        <w:rPr>
          <w:color w:val="525F6F"/>
          <w:sz w:val="16"/>
        </w:rPr>
        <w:t xml:space="preserve">  — PMID 42041700 states assay originally developed for HER2 overexpression (3+) from gene amplification</w:t>
      </w:r>
    </w:p>
    <w:p>
      <w:pPr>
        <w:pStyle w:val="ListBullet"/>
      </w:pPr>
      <w:r>
        <w:rPr>
          <w:b/>
          <w:color w:val="0D9488"/>
          <w:sz w:val="18"/>
        </w:rPr>
        <w:t xml:space="preserve">已核实 VERIFIED  </w:t>
      </w:r>
      <w:r>
        <w:rPr>
          <w:sz w:val="20"/>
        </w:rPr>
        <w:t>Lack of established analytical sensitivity/specificity for IHC 1+ cases</w:t>
      </w:r>
      <w:r>
        <w:rPr>
          <w:color w:val="525F6F"/>
          <w:sz w:val="16"/>
        </w:rPr>
        <w:t xml:space="preserve">  — PMID 42041700 lists lack of analytical sensitivity/specificity for 1+ cases</w:t>
      </w:r>
    </w:p>
    <w:p>
      <w:pPr>
        <w:pStyle w:val="ListBullet"/>
      </w:pPr>
      <w:r>
        <w:rPr>
          <w:b/>
          <w:color w:val="0D9488"/>
          <w:sz w:val="18"/>
        </w:rPr>
        <w:t xml:space="preserve">已核实 VERIFIED  </w:t>
      </w:r>
      <w:r>
        <w:rPr>
          <w:sz w:val="20"/>
        </w:rPr>
        <w:t>Poor reproducibility of pathologist scoring at low HER2 levels</w:t>
      </w:r>
      <w:r>
        <w:rPr>
          <w:color w:val="525F6F"/>
          <w:sz w:val="16"/>
        </w:rPr>
        <w:t xml:space="preserve">  — PMID 42041700 explicitly cites poor reproducibility at low HER2 levels</w:t>
      </w:r>
    </w:p>
    <w:p>
      <w:pPr>
        <w:pStyle w:val="ListBullet"/>
      </w:pPr>
      <w:r>
        <w:rPr>
          <w:b/>
          <w:color w:val="0D9488"/>
          <w:sz w:val="18"/>
        </w:rPr>
        <w:t xml:space="preserve">已核实 VERIFIED  </w:t>
      </w:r>
      <w:r>
        <w:rPr>
          <w:sz w:val="20"/>
        </w:rPr>
        <w:t>Incomplete clinical validation for distinguishing HER2-low/ultralow/HER2-negative</w:t>
      </w:r>
      <w:r>
        <w:rPr>
          <w:color w:val="525F6F"/>
          <w:sz w:val="16"/>
        </w:rPr>
        <w:t xml:space="preserve">  — PMID 42041700 discusses incomplete validation for distinguishing these categories</w:t>
      </w:r>
    </w:p>
    <w:p>
      <w:pPr>
        <w:pStyle w:val="ListBullet"/>
      </w:pPr>
      <w:r>
        <w:rPr>
          <w:b/>
          <w:color w:val="0D9488"/>
          <w:sz w:val="18"/>
        </w:rPr>
        <w:t xml:space="preserve">已核实 VERIFIED  </w:t>
      </w:r>
      <w:r>
        <w:rPr>
          <w:sz w:val="20"/>
        </w:rPr>
        <w:t>DESTINY-Breast06 introduced HER2-ultralow defined as incomplete faint staining in ≤10% of cells (or below IHC 1+ threshold)</w:t>
      </w:r>
      <w:r>
        <w:rPr>
          <w:color w:val="525F6F"/>
          <w:sz w:val="16"/>
        </w:rPr>
        <w:t xml:space="preserve">  — PMID 41595172 defines HER2-ultralow as &lt;1+ but ≤10% cells with incomplete faint/weak staining</w:t>
      </w:r>
    </w:p>
    <w:p>
      <w:pPr>
        <w:pStyle w:val="ListBullet"/>
      </w:pPr>
      <w:r>
        <w:rPr>
          <w:b/>
          <w:color w:val="0D9488"/>
          <w:sz w:val="18"/>
        </w:rPr>
        <w:t xml:space="preserve">已核实 VERIFIED  </w:t>
      </w:r>
      <w:r>
        <w:rPr>
          <w:sz w:val="20"/>
        </w:rPr>
        <w:t>DESTINY-Breast06 demonstrated clinical activity of T-DXd in HER2-ultralow patients</w:t>
      </w:r>
      <w:r>
        <w:rPr>
          <w:color w:val="525F6F"/>
          <w:sz w:val="16"/>
        </w:rPr>
        <w:t xml:space="preserve">  — PMID 41033579 and 41595172 state HR+ HER2-ultralow patients benefit from T-DXd</w:t>
      </w:r>
    </w:p>
    <w:p>
      <w:pPr>
        <w:pStyle w:val="ListBullet"/>
      </w:pPr>
      <w:r>
        <w:rPr>
          <w:b/>
          <w:color w:val="0D9488"/>
          <w:sz w:val="18"/>
        </w:rPr>
        <w:t xml:space="preserve">已核实 VERIFIED  </w:t>
      </w:r>
      <w:r>
        <w:rPr>
          <w:sz w:val="20"/>
        </w:rPr>
        <w:t>ERBB2 has indication-matched association sub-score 100/100 in breast cancer</w:t>
      </w:r>
      <w:r>
        <w:rPr>
          <w:color w:val="525F6F"/>
          <w:sz w:val="16"/>
        </w:rPr>
        <w:t xml:space="preserve">  — score_target association 100.0</w:t>
      </w:r>
    </w:p>
    <w:p>
      <w:pPr>
        <w:pStyle w:val="ListBullet"/>
      </w:pPr>
      <w:r>
        <w:rPr>
          <w:b/>
          <w:color w:val="0D9488"/>
          <w:sz w:val="18"/>
        </w:rPr>
        <w:t xml:space="preserve">已核实 VERIFIED  </w:t>
      </w:r>
      <w:r>
        <w:rPr>
          <w:sz w:val="20"/>
        </w:rPr>
        <w:t>Open Targets breast carcinoma association 0.696</w:t>
      </w:r>
      <w:r>
        <w:rPr>
          <w:color w:val="525F6F"/>
          <w:sz w:val="16"/>
        </w:rPr>
        <w:t xml:space="preserve">  — opentargets_target breast carcinoma 0.696</w:t>
      </w:r>
    </w:p>
    <w:p>
      <w:pPr>
        <w:pStyle w:val="ListBullet"/>
      </w:pPr>
      <w:r>
        <w:rPr>
          <w:b/>
          <w:color w:val="0D9488"/>
          <w:sz w:val="18"/>
        </w:rPr>
        <w:t xml:space="preserve">已核实 VERIFIED  </w:t>
      </w:r>
      <w:r>
        <w:rPr>
          <w:sz w:val="20"/>
        </w:rPr>
        <w:t>HER2-Positive Breast Carcinoma score 0.658</w:t>
      </w:r>
      <w:r>
        <w:rPr>
          <w:color w:val="525F6F"/>
          <w:sz w:val="16"/>
        </w:rPr>
        <w:t xml:space="preserve">  — opentargets_target 0.658</w:t>
      </w:r>
    </w:p>
    <w:p>
      <w:pPr>
        <w:pStyle w:val="ListBullet"/>
      </w:pPr>
      <w:r>
        <w:rPr>
          <w:b/>
          <w:color w:val="0D9488"/>
          <w:sz w:val="18"/>
        </w:rPr>
        <w:t xml:space="preserve">已核实 VERIFIED  </w:t>
      </w:r>
      <w:r>
        <w:rPr>
          <w:sz w:val="20"/>
        </w:rPr>
        <w:t>Tractability Pharos TDL Tclin, sub-score 92/100</w:t>
      </w:r>
      <w:r>
        <w:rPr>
          <w:color w:val="525F6F"/>
          <w:sz w:val="16"/>
        </w:rPr>
        <w:t xml:space="preserve">  — score_target tractability 92, Tclin</w:t>
      </w:r>
    </w:p>
    <w:p>
      <w:pPr>
        <w:pStyle w:val="ListBullet"/>
      </w:pPr>
      <w:r>
        <w:rPr>
          <w:b/>
          <w:color w:val="0D9488"/>
          <w:sz w:val="18"/>
        </w:rPr>
        <w:t xml:space="preserve">已核实 VERIFIED  </w:t>
      </w:r>
      <w:r>
        <w:rPr>
          <w:sz w:val="20"/>
        </w:rPr>
        <w:t>14 approved drugs and 40 total agents against CHEMBL1824, including T-DM1 and T-DXd ADCs</w:t>
      </w:r>
      <w:r>
        <w:rPr>
          <w:color w:val="525F6F"/>
          <w:sz w:val="16"/>
        </w:rPr>
        <w:t xml:space="preserve">  — clinical_precedent n_approved 14, n_drugs 40, both ADCs listed</w:t>
      </w:r>
    </w:p>
    <w:p>
      <w:pPr>
        <w:pStyle w:val="ListBullet"/>
      </w:pPr>
      <w:r>
        <w:rPr>
          <w:b/>
          <w:color w:val="0D9488"/>
          <w:sz w:val="18"/>
        </w:rPr>
        <w:t xml:space="preserve">已核实 VERIFIED  </w:t>
      </w:r>
      <w:r>
        <w:rPr>
          <w:sz w:val="20"/>
        </w:rPr>
        <w:t>Only 15% of cell lines dependent on ERBB2</w:t>
      </w:r>
      <w:r>
        <w:rPr>
          <w:color w:val="525F6F"/>
          <w:sz w:val="16"/>
        </w:rPr>
        <w:t xml:space="preserve">  — depmap_fraction_dependent 0.15</w:t>
      </w:r>
    </w:p>
    <w:p>
      <w:pPr>
        <w:pStyle w:val="ListBullet"/>
      </w:pPr>
      <w:r>
        <w:rPr>
          <w:b/>
          <w:color w:val="0D9488"/>
          <w:sz w:val="18"/>
        </w:rPr>
        <w:t xml:space="preserve">已核实 VERIFIED  </w:t>
      </w:r>
      <w:r>
        <w:rPr>
          <w:sz w:val="20"/>
        </w:rPr>
        <w:t>Germline constraint intermediate pLI 0.25, genetic sub-score 58/100</w:t>
      </w:r>
      <w:r>
        <w:rPr>
          <w:color w:val="525F6F"/>
          <w:sz w:val="16"/>
        </w:rPr>
        <w:t xml:space="preserve">  — score_target pLI 0.25, genetic 58</w:t>
      </w:r>
    </w:p>
    <w:p>
      <w:pPr>
        <w:pStyle w:val="ListBullet"/>
      </w:pPr>
      <w:r>
        <w:rPr>
          <w:b/>
          <w:color w:val="0D9488"/>
          <w:sz w:val="18"/>
        </w:rPr>
        <w:t xml:space="preserve">已核实 VERIFIED  </w:t>
      </w:r>
      <w:r>
        <w:rPr>
          <w:sz w:val="20"/>
        </w:rPr>
        <w:t>ERBB2 somatic mutation frequency 2.95% pan-cancer</w:t>
      </w:r>
      <w:r>
        <w:rPr>
          <w:color w:val="525F6F"/>
          <w:sz w:val="16"/>
        </w:rPr>
        <w:t xml:space="preserve">  — cBioPortal MSK-IMPACT 2.95%</w:t>
      </w:r>
    </w:p>
    <w:p>
      <w:pPr>
        <w:pStyle w:val="ListBullet"/>
      </w:pPr>
      <w:r>
        <w:rPr>
          <w:b/>
          <w:color w:val="0D9488"/>
          <w:sz w:val="18"/>
        </w:rPr>
        <w:t xml:space="preserve">已核实 VERIFIED  </w:t>
      </w:r>
      <w:r>
        <w:rPr>
          <w:sz w:val="20"/>
        </w:rPr>
        <w:t>Confirmed plasma-membrane localization</w:t>
      </w:r>
      <w:r>
        <w:rPr>
          <w:color w:val="525F6F"/>
          <w:sz w:val="16"/>
        </w:rPr>
        <w:t xml:space="preserve">  — HPA subcellular_location Plasma membrane</w:t>
      </w:r>
    </w:p>
    <w:p>
      <w:pPr>
        <w:pStyle w:val="ListBullet"/>
      </w:pPr>
      <w:r>
        <w:rPr>
          <w:b/>
          <w:color w:val="0D9488"/>
          <w:sz w:val="18"/>
        </w:rPr>
        <w:t xml:space="preserve">已核实 VERIFIED  </w:t>
      </w:r>
      <w:r>
        <w:rPr>
          <w:sz w:val="20"/>
        </w:rPr>
        <w:t>Trastuzumab domain IV epitope PDB 1N8Z at 2.52 Å</w:t>
      </w:r>
      <w:r>
        <w:rPr>
          <w:color w:val="525F6F"/>
          <w:sz w:val="16"/>
        </w:rPr>
        <w:t xml:space="preserve">  — PDB 1N8Z Herceptin Fab 2.52 Å; domain IV is general knowledge</w:t>
      </w:r>
    </w:p>
    <w:p>
      <w:pPr>
        <w:pStyle w:val="ListBullet"/>
      </w:pPr>
      <w:r>
        <w:rPr>
          <w:b/>
          <w:color w:val="0D9488"/>
          <w:sz w:val="18"/>
        </w:rPr>
        <w:t xml:space="preserve">已核实 VERIFIED  </w:t>
      </w:r>
      <w:r>
        <w:rPr>
          <w:sz w:val="20"/>
        </w:rPr>
        <w:t>Trastuzumab-Pertuzumab-HER2 complex PDB 6OGE at 4.36 Å</w:t>
      </w:r>
      <w:r>
        <w:rPr>
          <w:color w:val="525F6F"/>
          <w:sz w:val="16"/>
        </w:rPr>
        <w:t xml:space="preserve">  — pdb_search 6OGE 4.36 Å cryo-EM</w:t>
      </w:r>
    </w:p>
    <w:p>
      <w:pPr>
        <w:pStyle w:val="ListBullet"/>
      </w:pPr>
      <w:r>
        <w:rPr>
          <w:b/>
          <w:color w:val="0D9488"/>
          <w:sz w:val="18"/>
        </w:rPr>
        <w:t xml:space="preserve">已核实 VERIFIED  </w:t>
      </w:r>
      <w:r>
        <w:rPr>
          <w:sz w:val="20"/>
        </w:rPr>
        <w:t>ADC modality score 70.2/100</w:t>
      </w:r>
      <w:r>
        <w:rPr>
          <w:color w:val="525F6F"/>
          <w:sz w:val="16"/>
        </w:rPr>
        <w:t xml:space="preserve">  — score_target modality_scores.adc 70.2</w:t>
      </w:r>
    </w:p>
    <w:p>
      <w:pPr>
        <w:pStyle w:val="ListBullet"/>
      </w:pPr>
      <w:r>
        <w:rPr>
          <w:b/>
          <w:color w:val="0D9488"/>
          <w:sz w:val="18"/>
        </w:rPr>
        <w:t xml:space="preserve">已核实 VERIFIED  </w:t>
      </w:r>
      <w:r>
        <w:rPr>
          <w:sz w:val="20"/>
        </w:rPr>
        <w:t>ADC flagged as NARROW therapeutic index due to high vital-tissue expression</w:t>
      </w:r>
      <w:r>
        <w:rPr>
          <w:color w:val="525F6F"/>
          <w:sz w:val="16"/>
        </w:rPr>
        <w:t xml:space="preserve">  — adc_suitability base text NARROW</w:t>
      </w:r>
    </w:p>
    <w:p>
      <w:pPr>
        <w:pStyle w:val="ListBullet"/>
      </w:pPr>
      <w:r>
        <w:rPr>
          <w:b/>
          <w:color w:val="0D9488"/>
          <w:sz w:val="18"/>
        </w:rPr>
        <w:t xml:space="preserve">已核实 VERIFIED  </w:t>
      </w:r>
      <w:r>
        <w:rPr>
          <w:sz w:val="20"/>
        </w:rPr>
        <w:t>ERBB2 low tissue specificity, detected in all tissues</w:t>
      </w:r>
      <w:r>
        <w:rPr>
          <w:color w:val="525F6F"/>
          <w:sz w:val="16"/>
        </w:rPr>
        <w:t xml:space="preserve">  — HPA low tissue specificity, detected in all</w:t>
      </w:r>
    </w:p>
    <w:p>
      <w:pPr>
        <w:pStyle w:val="ListBullet"/>
      </w:pPr>
      <w:r>
        <w:rPr>
          <w:b/>
          <w:color w:val="0D9488"/>
          <w:sz w:val="18"/>
        </w:rPr>
        <w:t xml:space="preserve">已核实 VERIFIED  </w:t>
      </w:r>
      <w:r>
        <w:rPr>
          <w:sz w:val="20"/>
        </w:rPr>
        <w:t>GTEx Nerve_Tibial 130.13, Skin 118.26, Esophagus_Mucosa 113.10, Kidney_Medulla 64.82 TPM</w:t>
      </w:r>
      <w:r>
        <w:rPr>
          <w:color w:val="525F6F"/>
          <w:sz w:val="16"/>
        </w:rPr>
        <w:t xml:space="preserve">  — gtex_expression values match</w:t>
      </w:r>
    </w:p>
    <w:p>
      <w:pPr>
        <w:pStyle w:val="ListBullet"/>
      </w:pPr>
      <w:r>
        <w:rPr>
          <w:b/>
          <w:color w:val="0D9488"/>
          <w:sz w:val="18"/>
        </w:rPr>
        <w:t xml:space="preserve">已核实 VERIFIED  </w:t>
      </w:r>
      <w:r>
        <w:rPr>
          <w:sz w:val="20"/>
        </w:rPr>
        <w:t>Safety sub-score 30/100, vital-normal peak 64.82 TPM</w:t>
      </w:r>
      <w:r>
        <w:rPr>
          <w:color w:val="525F6F"/>
          <w:sz w:val="16"/>
        </w:rPr>
        <w:t xml:space="preserve">  — score_target safety 30, base 64.82 TPM</w:t>
      </w:r>
    </w:p>
    <w:p>
      <w:pPr>
        <w:pStyle w:val="ListBullet"/>
      </w:pPr>
      <w:r>
        <w:rPr>
          <w:b/>
          <w:color w:val="0D9488"/>
          <w:sz w:val="18"/>
        </w:rPr>
        <w:t xml:space="preserve">已核实 VERIFIED  </w:t>
      </w:r>
      <w:r>
        <w:rPr>
          <w:sz w:val="20"/>
        </w:rPr>
        <w:t>Real-world 12-month cumulative ILD incidence 13% (95% CI 7.2–20.6%) with two grade 5 cases (2%)</w:t>
      </w:r>
      <w:r>
        <w:rPr>
          <w:color w:val="525F6F"/>
          <w:sz w:val="16"/>
        </w:rPr>
        <w:t xml:space="preserve">  — PMID 41101156 abstract</w:t>
      </w:r>
    </w:p>
    <w:p>
      <w:pPr>
        <w:pStyle w:val="ListBullet"/>
      </w:pPr>
      <w:r>
        <w:rPr>
          <w:b/>
          <w:color w:val="0D9488"/>
          <w:sz w:val="18"/>
        </w:rPr>
        <w:t xml:space="preserve">已核实 VERIFIED  </w:t>
      </w:r>
      <w:r>
        <w:rPr>
          <w:sz w:val="20"/>
        </w:rPr>
        <w:t>T-DXd meta-analysis mOS HR 0.72 (0.64–0.82), mPFS HR 0.43 (0.31–0.62)</w:t>
      </w:r>
      <w:r>
        <w:rPr>
          <w:color w:val="525F6F"/>
          <w:sz w:val="16"/>
        </w:rPr>
        <w:t xml:space="preserve">  — PMID 41239655 abstract</w:t>
      </w:r>
    </w:p>
    <w:p>
      <w:pPr>
        <w:pStyle w:val="ListBullet"/>
      </w:pPr>
      <w:r>
        <w:rPr>
          <w:b/>
          <w:color w:val="0D9488"/>
          <w:sz w:val="18"/>
        </w:rPr>
        <w:t xml:space="preserve">已核实 VERIFIED  </w:t>
      </w:r>
      <w:r>
        <w:rPr>
          <w:sz w:val="20"/>
        </w:rPr>
        <w:t>DESTINY-Breast04 NCT03734029 Phase III, DESTINY-Breast06 NCT04494425 ACTIVE_NOT_RECRUITING</w:t>
      </w:r>
      <w:r>
        <w:rPr>
          <w:color w:val="525F6F"/>
          <w:sz w:val="16"/>
        </w:rPr>
        <w:t xml:space="preserve">  — clinicaltrials_search results match</w:t>
      </w:r>
    </w:p>
    <w:p>
      <w:pPr>
        <w:pStyle w:val="ListBullet"/>
      </w:pPr>
      <w:r>
        <w:rPr>
          <w:b/>
          <w:color w:val="0D9488"/>
          <w:sz w:val="18"/>
        </w:rPr>
        <w:t xml:space="preserve">已核实 VERIFIED  </w:t>
      </w:r>
      <w:r>
        <w:rPr>
          <w:sz w:val="20"/>
        </w:rPr>
        <w:t>Legacy VENTANA PATHWAY 4B5 assay FDA-expanded Sept 2022, not analytically validated for IHC 1+</w:t>
      </w:r>
      <w:r>
        <w:rPr>
          <w:color w:val="525F6F"/>
          <w:sz w:val="16"/>
        </w:rPr>
        <w:t xml:space="preserve">  — PMID 42041700; 4B5 named, Sept 2022, validation gaps</w:t>
      </w:r>
    </w:p>
    <w:p>
      <w:pPr>
        <w:pStyle w:val="ListBullet"/>
      </w:pPr>
      <w:r>
        <w:rPr>
          <w:b/>
          <w:color w:val="0D9488"/>
          <w:sz w:val="18"/>
        </w:rPr>
        <w:t xml:space="preserve">已核实 VERIFIED  </w:t>
      </w:r>
      <w:r>
        <w:rPr>
          <w:sz w:val="20"/>
        </w:rPr>
        <w:t>Interobserver agreement at HER2-low boundary Fleiss' kappa 0.433</w:t>
      </w:r>
      <w:r>
        <w:rPr>
          <w:color w:val="525F6F"/>
          <w:sz w:val="16"/>
        </w:rPr>
        <w:t xml:space="preserve">  — PMID 41103138 kappa 0.433</w:t>
      </w:r>
    </w:p>
    <w:p>
      <w:pPr>
        <w:pStyle w:val="ListBullet"/>
      </w:pPr>
      <w:r>
        <w:rPr>
          <w:b/>
          <w:color w:val="0D9488"/>
          <w:sz w:val="18"/>
        </w:rPr>
        <w:t xml:space="preserve">已核实 VERIFIED  </w:t>
      </w:r>
      <w:r>
        <w:rPr>
          <w:sz w:val="20"/>
        </w:rPr>
        <w:t>Deep-learning HER2-0 F1 75.6% vs HER2-high 91.5%</w:t>
      </w:r>
      <w:r>
        <w:rPr>
          <w:color w:val="525F6F"/>
          <w:sz w:val="16"/>
        </w:rPr>
        <w:t xml:space="preserve">  — PMID 41446275 class-wise F1</w:t>
      </w:r>
    </w:p>
    <w:p>
      <w:pPr>
        <w:pStyle w:val="ListBullet"/>
      </w:pPr>
      <w:r>
        <w:rPr>
          <w:b/>
          <w:color w:val="0D9488"/>
          <w:sz w:val="18"/>
        </w:rPr>
        <w:t xml:space="preserve">已核实 VERIFIED  </w:t>
      </w:r>
      <w:r>
        <w:rPr>
          <w:sz w:val="20"/>
        </w:rPr>
        <w:t>In HER2-negative cohort 74.9% (512/684) HER2-low, HR+ 89.6% vs 75.6%</w:t>
      </w:r>
      <w:r>
        <w:rPr>
          <w:color w:val="525F6F"/>
          <w:sz w:val="16"/>
        </w:rPr>
        <w:t xml:space="preserve">  — PMID 37770874 abstract</w:t>
      </w:r>
    </w:p>
    <w:p>
      <w:pPr>
        <w:pStyle w:val="ListBullet"/>
      </w:pPr>
      <w:r>
        <w:rPr>
          <w:b/>
          <w:color w:val="0D9488"/>
          <w:sz w:val="18"/>
        </w:rPr>
        <w:t xml:space="preserve">已核实 VERIFIED  </w:t>
      </w:r>
      <w:r>
        <w:rPr>
          <w:sz w:val="20"/>
        </w:rPr>
        <w:t>Real-world T-DXd cohort 57% HER2-low</w:t>
      </w:r>
      <w:r>
        <w:rPr>
          <w:color w:val="525F6F"/>
          <w:sz w:val="16"/>
        </w:rPr>
        <w:t xml:space="preserve">  — PMID 41101156 57% n=64</w:t>
      </w:r>
    </w:p>
    <w:p>
      <w:pPr>
        <w:pStyle w:val="ListBullet"/>
      </w:pPr>
      <w:r>
        <w:rPr>
          <w:b/>
          <w:color w:val="0D9488"/>
          <w:sz w:val="18"/>
        </w:rPr>
        <w:t xml:space="preserve">已核实 VERIFIED  </w:t>
      </w:r>
      <w:r>
        <w:rPr>
          <w:sz w:val="20"/>
        </w:rPr>
        <w:t>trastuzumab targets ERBB2</w:t>
      </w:r>
      <w:r>
        <w:rPr>
          <w:color w:val="525F6F"/>
          <w:sz w:val="16"/>
        </w:rPr>
        <w:t xml:space="preserve">  — ChEMBL mechanism confirms (CHEMBL1201585 → ERBB2)</w:t>
      </w:r>
    </w:p>
    <w:p>
      <w:pPr>
        <w:pStyle w:val="ListBullet"/>
      </w:pPr>
      <w:r>
        <w:rPr>
          <w:b/>
          <w:color w:val="0D9488"/>
          <w:sz w:val="18"/>
        </w:rPr>
        <w:t xml:space="preserve">已核实 VERIFIED  </w:t>
      </w:r>
      <w:r>
        <w:rPr>
          <w:sz w:val="20"/>
        </w:rPr>
        <w:t>pertuzumab targets ERBB2</w:t>
      </w:r>
      <w:r>
        <w:rPr>
          <w:color w:val="525F6F"/>
          <w:sz w:val="16"/>
        </w:rPr>
        <w:t xml:space="preserve">  — ChEMBL mechanism confirms (CHEMBL2007641 → ERBB2)</w:t>
      </w:r>
    </w:p>
    <w:p>
      <w:pPr>
        <w:pStyle w:val="ListBullet"/>
      </w:pPr>
      <w:r>
        <w:rPr>
          <w:b/>
          <w:color w:val="0D9488"/>
          <w:sz w:val="18"/>
        </w:rPr>
        <w:t xml:space="preserve">已核实 VERIFIED  </w:t>
      </w:r>
      <w:r>
        <w:rPr>
          <w:sz w:val="20"/>
        </w:rPr>
        <w:t>trastuzumab deruxtecan targets ERBB2</w:t>
      </w:r>
      <w:r>
        <w:rPr>
          <w:color w:val="525F6F"/>
          <w:sz w:val="16"/>
        </w:rPr>
        <w:t xml:space="preserve">  — ChEMBL mechanism confirms (CHEMBL4297844 → ERBB2)</w:t>
      </w:r>
    </w:p>
    <w:p>
      <w:pPr>
        <w:pStyle w:val="ListBullet"/>
      </w:pPr>
      <w:r>
        <w:rPr>
          <w:b/>
          <w:color w:val="0D9488"/>
          <w:sz w:val="18"/>
        </w:rPr>
        <w:t xml:space="preserve">已核实 VERIFIED  </w:t>
      </w:r>
      <w:r>
        <w:rPr>
          <w:sz w:val="20"/>
        </w:rPr>
        <w:t>trastuzumab emtansine targets ERBB2</w:t>
      </w:r>
      <w:r>
        <w:rPr>
          <w:color w:val="525F6F"/>
          <w:sz w:val="16"/>
        </w:rPr>
        <w:t xml:space="preserve">  — ChEMBL mechanism confirms (CHEMBL1743082 → ERBB2)</w:t>
      </w:r>
    </w:p>
    <w:p>
      <w:pPr>
        <w:pStyle w:val="ListBullet"/>
      </w:pPr>
      <w:r>
        <w:rPr>
          <w:b/>
          <w:color w:val="0D9488"/>
          <w:sz w:val="18"/>
        </w:rPr>
        <w:t xml:space="preserve">已核实 VERIFIED  </w:t>
      </w:r>
      <w:r>
        <w:rPr>
          <w:sz w:val="20"/>
        </w:rPr>
        <w:t>disitamab vedotin targets ERBB2</w:t>
      </w:r>
      <w:r>
        <w:rPr>
          <w:color w:val="525F6F"/>
          <w:sz w:val="16"/>
        </w:rPr>
        <w:t xml:space="preserve">  — ChEMBL mechanism confirms (CHEMBL5095273 → ERBB2)</w:t>
      </w:r>
    </w:p>
    <w:p>
      <w:pPr>
        <w:pStyle w:val="ListBullet"/>
      </w:pPr>
      <w:r>
        <w:rPr>
          <w:b/>
          <w:color w:val="0D9488"/>
          <w:sz w:val="18"/>
        </w:rPr>
        <w:t xml:space="preserve">已核实 VERIFIED  </w:t>
      </w:r>
      <w:r>
        <w:rPr>
          <w:sz w:val="20"/>
        </w:rPr>
        <w:t>trastuzumab duocarmazine targets ERBB2</w:t>
      </w:r>
      <w:r>
        <w:rPr>
          <w:color w:val="525F6F"/>
          <w:sz w:val="16"/>
        </w:rPr>
        <w:t xml:space="preserve">  — ChEMBL mechanism confirms (CHEMBL4298178 → ERBB2)</w:t>
      </w:r>
    </w:p>
    <w:p>
      <w:pPr>
        <w:pStyle w:val="ListBullet"/>
      </w:pPr>
      <w:r>
        <w:rPr>
          <w:b/>
          <w:color w:val="525F6F"/>
          <w:sz w:val="18"/>
        </w:rPr>
        <w:t xml:space="preserve">常识 GENERAL  </w:t>
      </w:r>
      <w:r>
        <w:rPr>
          <w:sz w:val="20"/>
        </w:rPr>
        <w:t>HER2 is encoded by the ERBB2 gene</w:t>
      </w:r>
      <w:r>
        <w:rPr>
          <w:color w:val="525F6F"/>
          <w:sz w:val="16"/>
        </w:rPr>
        <w:t xml:space="preserve">  — background; consistent with UniProt naming</w:t>
      </w:r>
    </w:p>
    <w:p>
      <w:pPr>
        <w:pStyle w:val="ListBullet"/>
      </w:pPr>
      <w:r>
        <w:rPr>
          <w:b/>
          <w:color w:val="525F6F"/>
          <w:sz w:val="18"/>
        </w:rPr>
        <w:t xml:space="preserve">常识 GENERAL  </w:t>
      </w:r>
      <w:r>
        <w:rPr>
          <w:sz w:val="20"/>
        </w:rPr>
        <w:t>HER2 has no known cognate soluble ligand</w:t>
      </w:r>
      <w:r>
        <w:rPr>
          <w:color w:val="525F6F"/>
          <w:sz w:val="16"/>
        </w:rPr>
        <w:t xml:space="preserve">  — established background knowledge</w:t>
      </w:r>
    </w:p>
    <w:p>
      <w:pPr>
        <w:pStyle w:val="ListBullet"/>
      </w:pPr>
      <w:r>
        <w:rPr>
          <w:b/>
          <w:color w:val="525F6F"/>
          <w:sz w:val="18"/>
        </w:rPr>
        <w:t xml:space="preserve">常识 GENERAL  </w:t>
      </w:r>
      <w:r>
        <w:rPr>
          <w:sz w:val="20"/>
        </w:rPr>
        <w:t>Domain II is the dimerization arm and binding site for pertuzumab</w:t>
      </w:r>
      <w:r>
        <w:rPr>
          <w:color w:val="525F6F"/>
          <w:sz w:val="16"/>
        </w:rPr>
        <w:t xml:space="preserve">  — established structural biology</w:t>
      </w:r>
    </w:p>
    <w:p>
      <w:pPr>
        <w:pStyle w:val="ListBullet"/>
      </w:pPr>
      <w:r>
        <w:rPr>
          <w:b/>
          <w:color w:val="525F6F"/>
          <w:sz w:val="18"/>
        </w:rPr>
        <w:t xml:space="preserve">常识 GENERAL  </w:t>
      </w:r>
      <w:r>
        <w:rPr>
          <w:sz w:val="20"/>
        </w:rPr>
        <w:t>Pertuzumab prevents HER2:HER3 heterodimerization driving PI3K/AKT signaling</w:t>
      </w:r>
      <w:r>
        <w:rPr>
          <w:color w:val="525F6F"/>
          <w:sz w:val="16"/>
        </w:rPr>
        <w:t xml:space="preserve">  — mechanistic background</w:t>
      </w:r>
    </w:p>
    <w:p>
      <w:pPr>
        <w:pStyle w:val="ListBullet"/>
      </w:pPr>
      <w:r>
        <w:rPr>
          <w:b/>
          <w:color w:val="525F6F"/>
          <w:sz w:val="18"/>
        </w:rPr>
        <w:t xml:space="preserve">常识 GENERAL  </w:t>
      </w:r>
      <w:r>
        <w:rPr>
          <w:sz w:val="20"/>
        </w:rPr>
        <w:t>Cryo-EM 6OGE confirms pertuzumab engagement at domain II</w:t>
      </w:r>
      <w:r>
        <w:rPr>
          <w:color w:val="525F6F"/>
          <w:sz w:val="16"/>
        </w:rPr>
        <w:t xml:space="preserve">  — 6OGE exists per evidence but domain-level epitope detail not in returned data; plausible background</w:t>
      </w:r>
    </w:p>
    <w:p>
      <w:pPr>
        <w:pStyle w:val="ListBullet"/>
      </w:pPr>
      <w:r>
        <w:rPr>
          <w:b/>
          <w:color w:val="525F6F"/>
          <w:sz w:val="18"/>
        </w:rPr>
        <w:t xml:space="preserve">常识 GENERAL  </w:t>
      </w:r>
      <w:r>
        <w:rPr>
          <w:sz w:val="20"/>
        </w:rPr>
        <w:t>Domain IV is binding site for trastuzumab, shown in PDB 1N8Z</w:t>
      </w:r>
      <w:r>
        <w:rPr>
          <w:color w:val="525F6F"/>
          <w:sz w:val="16"/>
        </w:rPr>
        <w:t xml:space="preserve">  — 1N8Z verified as trastuzumab Fab complex; domain IV is established knowledge</w:t>
      </w:r>
    </w:p>
    <w:p>
      <w:pPr>
        <w:pStyle w:val="ListBullet"/>
      </w:pPr>
      <w:r>
        <w:rPr>
          <w:b/>
          <w:color w:val="525F6F"/>
          <w:sz w:val="18"/>
        </w:rPr>
        <w:t xml:space="preserve">常识 GENERAL  </w:t>
      </w:r>
      <w:r>
        <w:rPr>
          <w:sz w:val="20"/>
        </w:rPr>
        <w:t>Trastuzumab binding prevents proteolytic shedding generating p95-HER2</w:t>
      </w:r>
      <w:r>
        <w:rPr>
          <w:color w:val="525F6F"/>
          <w:sz w:val="16"/>
        </w:rPr>
        <w:t xml:space="preserve">  — mechanistic background</w:t>
      </w:r>
    </w:p>
    <w:p>
      <w:pPr>
        <w:pStyle w:val="ListBullet"/>
      </w:pPr>
      <w:r>
        <w:rPr>
          <w:b/>
          <w:color w:val="525F6F"/>
          <w:sz w:val="18"/>
        </w:rPr>
        <w:t xml:space="preserve">常识 GENERAL  </w:t>
      </w:r>
      <w:r>
        <w:rPr>
          <w:sz w:val="20"/>
        </w:rPr>
        <w:t>HER2:HER3 heterodimer most potent oncogenic unit due to HER3's six PI3K-binding YXXM motifs</w:t>
      </w:r>
      <w:r>
        <w:rPr>
          <w:color w:val="525F6F"/>
          <w:sz w:val="16"/>
        </w:rPr>
        <w:t xml:space="preserve">  — background; specific motif count is general knowledge</w:t>
      </w:r>
    </w:p>
    <w:p>
      <w:pPr>
        <w:pStyle w:val="ListBullet"/>
      </w:pPr>
      <w:r>
        <w:rPr>
          <w:b/>
          <w:color w:val="525F6F"/>
          <w:sz w:val="18"/>
        </w:rPr>
        <w:t xml:space="preserve">常识 GENERAL  </w:t>
      </w:r>
      <w:r>
        <w:rPr>
          <w:sz w:val="20"/>
        </w:rPr>
        <w:t>HER2 surface copy number in HER2-low ~20,000–100,000 receptors/cell vs &gt;1,000,000 in amplified</w:t>
      </w:r>
      <w:r>
        <w:rPr>
          <w:color w:val="525F6F"/>
          <w:sz w:val="16"/>
        </w:rPr>
        <w:t xml:space="preserve">  — answer flags as general knowledge, not tool-verified</w:t>
      </w:r>
    </w:p>
    <w:p>
      <w:pPr>
        <w:pStyle w:val="ListBullet"/>
      </w:pPr>
      <w:r>
        <w:rPr>
          <w:b/>
          <w:color w:val="525F6F"/>
          <w:sz w:val="18"/>
        </w:rPr>
        <w:t xml:space="preserve">常识 GENERAL  </w:t>
      </w:r>
      <w:r>
        <w:rPr>
          <w:sz w:val="20"/>
        </w:rPr>
        <w:t>T-DXd uses membrane-permeable DXd topoisomerase I inhibitor payload enabling bystander killing</w:t>
      </w:r>
      <w:r>
        <w:rPr>
          <w:color w:val="525F6F"/>
          <w:sz w:val="16"/>
        </w:rPr>
        <w:t xml:space="preserve">  — labeled general knowledge</w:t>
      </w:r>
    </w:p>
    <w:p>
      <w:pPr>
        <w:pStyle w:val="ListBullet"/>
      </w:pPr>
      <w:r>
        <w:rPr>
          <w:b/>
          <w:color w:val="525F6F"/>
          <w:sz w:val="18"/>
        </w:rPr>
        <w:t xml:space="preserve">常识 GENERAL  </w:t>
      </w:r>
      <w:r>
        <w:rPr>
          <w:sz w:val="20"/>
        </w:rPr>
        <w:t>T-DM1 uses membrane-impermeable DM1 payload and failed in HER2-low</w:t>
      </w:r>
      <w:r>
        <w:rPr>
          <w:color w:val="525F6F"/>
          <w:sz w:val="16"/>
        </w:rPr>
        <w:t xml:space="preserve">  — background/clinical knowledge, flagged</w:t>
      </w:r>
    </w:p>
    <w:p>
      <w:pPr>
        <w:pStyle w:val="ListBullet"/>
      </w:pPr>
      <w:r>
        <w:rPr>
          <w:b/>
          <w:color w:val="525F6F"/>
          <w:sz w:val="18"/>
        </w:rPr>
        <w:t xml:space="preserve">常识 GENERAL  </w:t>
      </w:r>
      <w:r>
        <w:rPr>
          <w:sz w:val="20"/>
        </w:rPr>
        <w:t>DESTINY-Breast04 trial relevant to T-DXd in HER2-low</w:t>
      </w:r>
      <w:r>
        <w:rPr>
          <w:color w:val="525F6F"/>
          <w:sz w:val="16"/>
        </w:rPr>
        <w:t xml:space="preserve">  — answer flags as general trial knowledge</w:t>
      </w:r>
    </w:p>
    <w:p>
      <w:pPr>
        <w:pStyle w:val="ListBullet"/>
      </w:pPr>
      <w:r>
        <w:rPr>
          <w:b/>
          <w:color w:val="525F6F"/>
          <w:sz w:val="18"/>
        </w:rPr>
        <w:t xml:space="preserve">常识 GENERAL  </w:t>
      </w:r>
      <w:r>
        <w:rPr>
          <w:sz w:val="20"/>
        </w:rPr>
        <w:t>Unlike EGFR/HER3 tethered autoinhibited conformation, HER2 constitutively dimerization-competent</w:t>
      </w:r>
      <w:r>
        <w:rPr>
          <w:color w:val="525F6F"/>
          <w:sz w:val="16"/>
        </w:rPr>
        <w:t xml:space="preserve">  — established structural biology</w:t>
      </w:r>
    </w:p>
    <w:p>
      <w:pPr>
        <w:pStyle w:val="ListBullet"/>
      </w:pPr>
      <w:r>
        <w:rPr>
          <w:b/>
          <w:color w:val="525F6F"/>
          <w:sz w:val="18"/>
        </w:rPr>
        <w:t xml:space="preserve">常识 GENERAL  </w:t>
      </w:r>
      <w:r>
        <w:rPr>
          <w:sz w:val="20"/>
        </w:rPr>
        <w:t>score_target ADC call did not return numerical modality scores</w:t>
      </w:r>
      <w:r>
        <w:rPr>
          <w:color w:val="525F6F"/>
          <w:sz w:val="16"/>
        </w:rPr>
        <w:t xml:space="preserve">  — process/provenance meta-statement, skip-equivalent</w:t>
      </w:r>
    </w:p>
    <w:p>
      <w:pPr>
        <w:pStyle w:val="ListBullet"/>
      </w:pPr>
      <w:r>
        <w:rPr>
          <w:b/>
          <w:color w:val="525F6F"/>
          <w:sz w:val="18"/>
        </w:rPr>
        <w:t xml:space="preserve">常识 GENERAL  </w:t>
      </w:r>
      <w:r>
        <w:rPr>
          <w:sz w:val="20"/>
        </w:rPr>
        <w:t>breast cancer dominant mechanism is gene amplification at 17q12</w:t>
      </w:r>
      <w:r>
        <w:rPr>
          <w:color w:val="525F6F"/>
          <w:sz w:val="16"/>
        </w:rPr>
        <w:t xml:space="preserve">  — background knowledge, flagged appropriately</w:t>
      </w:r>
    </w:p>
    <w:p>
      <w:pPr>
        <w:pStyle w:val="ListBullet"/>
      </w:pPr>
      <w:r>
        <w:rPr>
          <w:b/>
          <w:color w:val="525F6F"/>
          <w:sz w:val="18"/>
        </w:rPr>
        <w:t xml:space="preserve">常识 GENERAL  </w:t>
      </w:r>
      <w:r>
        <w:rPr>
          <w:sz w:val="20"/>
        </w:rPr>
        <w:t>T-DXd ILD/pneumonitis carries a boxed warning</w:t>
      </w:r>
      <w:r>
        <w:rPr>
          <w:color w:val="525F6F"/>
          <w:sz w:val="16"/>
        </w:rPr>
        <w:t xml:space="preserve">  — regulatory background, no FAERS numeric in evidence; flagged as general</w:t>
      </w:r>
    </w:p>
    <w:p>
      <w:pPr>
        <w:pStyle w:val="ListBullet"/>
      </w:pPr>
      <w:r>
        <w:rPr>
          <w:b/>
          <w:color w:val="525F6F"/>
          <w:sz w:val="18"/>
        </w:rPr>
        <w:t xml:space="preserve">常识 GENERAL  </w:t>
      </w:r>
      <w:r>
        <w:rPr>
          <w:sz w:val="20"/>
        </w:rPr>
        <w:t>DXd is an exatecan-derivative topoisomerase-I inhibitor payload</w:t>
      </w:r>
      <w:r>
        <w:rPr>
          <w:color w:val="525F6F"/>
          <w:sz w:val="16"/>
        </w:rPr>
        <w:t xml:space="preserve">  — mechanistic background knowledge</w:t>
      </w:r>
    </w:p>
    <w:p>
      <w:pPr>
        <w:pStyle w:val="ListBullet"/>
      </w:pPr>
      <w:r>
        <w:rPr>
          <w:b/>
          <w:color w:val="525F6F"/>
          <w:sz w:val="18"/>
        </w:rPr>
        <w:t xml:space="preserve">常识 GENERAL  </w:t>
      </w:r>
      <w:r>
        <w:rPr>
          <w:sz w:val="20"/>
        </w:rPr>
        <w:t>HER2 signaling required for cardiomyocyte survival/repair</w:t>
      </w:r>
      <w:r>
        <w:rPr>
          <w:color w:val="525F6F"/>
          <w:sz w:val="16"/>
        </w:rPr>
        <w:t xml:space="preserve">  — mechanistic background</w:t>
      </w:r>
    </w:p>
    <w:p>
      <w:pPr>
        <w:pStyle w:val="ListBullet"/>
      </w:pPr>
      <w:r>
        <w:rPr>
          <w:b/>
          <w:color w:val="525F6F"/>
          <w:sz w:val="18"/>
        </w:rPr>
        <w:t xml:space="preserve">常识 GENERAL  </w:t>
      </w:r>
      <w:r>
        <w:rPr>
          <w:sz w:val="20"/>
        </w:rPr>
        <w:t>DM1 is a maytansinoid microtubule-disrupting agent</w:t>
      </w:r>
      <w:r>
        <w:rPr>
          <w:color w:val="525F6F"/>
          <w:sz w:val="16"/>
        </w:rPr>
        <w:t xml:space="preserve">  — background pharmacology</w:t>
      </w:r>
    </w:p>
    <w:p>
      <w:pPr>
        <w:pStyle w:val="ListBullet"/>
      </w:pPr>
      <w:r>
        <w:rPr>
          <w:b/>
          <w:color w:val="525F6F"/>
          <w:sz w:val="18"/>
        </w:rPr>
        <w:t xml:space="preserve">常识 GENERAL  </w:t>
      </w:r>
      <w:r>
        <w:rPr>
          <w:sz w:val="20"/>
        </w:rPr>
        <w:t>DM1 is not membrane-permeable, limiting bystander killing</w:t>
      </w:r>
      <w:r>
        <w:rPr>
          <w:color w:val="525F6F"/>
          <w:sz w:val="16"/>
        </w:rPr>
        <w:t xml:space="preserve">  — background mechanistic</w:t>
      </w:r>
    </w:p>
    <w:p>
      <w:pPr>
        <w:pStyle w:val="ListBullet"/>
      </w:pPr>
      <w:r>
        <w:rPr>
          <w:b/>
          <w:color w:val="525F6F"/>
          <w:sz w:val="18"/>
        </w:rPr>
        <w:t xml:space="preserve">常识 GENERAL  </w:t>
      </w:r>
      <w:r>
        <w:rPr>
          <w:sz w:val="20"/>
        </w:rPr>
        <w:t>T-DXd has DAR ~8, higher than T-DM1 DAR ~3.5</w:t>
      </w:r>
      <w:r>
        <w:rPr>
          <w:color w:val="525F6F"/>
          <w:sz w:val="16"/>
        </w:rPr>
        <w:t xml:space="preserve">  — explicitly tagged general knowledge; not in evidence</w:t>
      </w:r>
    </w:p>
    <w:p>
      <w:pPr>
        <w:pStyle w:val="ListBullet"/>
      </w:pPr>
      <w:r>
        <w:rPr>
          <w:b/>
          <w:color w:val="525F6F"/>
          <w:sz w:val="18"/>
        </w:rPr>
        <w:t xml:space="preserve">常识 GENERAL  </w:t>
      </w:r>
      <w:r>
        <w:rPr>
          <w:sz w:val="20"/>
        </w:rPr>
        <w:t>T-DXd success in HER2-low (DESTINY-Breast04)</w:t>
      </w:r>
      <w:r>
        <w:rPr>
          <w:color w:val="525F6F"/>
          <w:sz w:val="16"/>
        </w:rPr>
        <w:t xml:space="preserve">  — tagged general knowledge, not in evidence</w:t>
      </w:r>
    </w:p>
    <w:p>
      <w:pPr>
        <w:pStyle w:val="ListBullet"/>
      </w:pPr>
      <w:r>
        <w:rPr>
          <w:b/>
          <w:color w:val="525F6F"/>
          <w:sz w:val="18"/>
        </w:rPr>
        <w:t xml:space="preserve">常识 GENERAL  </w:t>
      </w:r>
      <w:r>
        <w:rPr>
          <w:sz w:val="20"/>
        </w:rPr>
        <w:t>FAERS report counts/PRRs not returned numerically this run</w:t>
      </w:r>
      <w:r>
        <w:rPr>
          <w:color w:val="525F6F"/>
          <w:sz w:val="16"/>
        </w:rPr>
        <w:t xml:space="preserve">  — honest provenance meta-statement; skipped as failure</w:t>
      </w:r>
    </w:p>
    <w:p>
      <w:pPr>
        <w:pStyle w:val="ListBullet"/>
      </w:pPr>
      <w:r>
        <w:rPr>
          <w:b/>
          <w:color w:val="525F6F"/>
          <w:sz w:val="18"/>
        </w:rPr>
        <w:t xml:space="preserve">常识 GENERAL  </w:t>
      </w:r>
      <w:r>
        <w:rPr>
          <w:sz w:val="20"/>
        </w:rPr>
        <w:t>HER2-positive IHC3+ tumors can reach 10^6 copies/cell</w:t>
      </w:r>
      <w:r>
        <w:rPr>
          <w:color w:val="525F6F"/>
          <w:sz w:val="16"/>
        </w:rPr>
        <w:t xml:space="preserve">  — tagged general knowledge, not tool-verified</w:t>
      </w:r>
    </w:p>
    <w:p>
      <w:pPr>
        <w:pStyle w:val="ListBullet"/>
      </w:pPr>
      <w:r>
        <w:rPr>
          <w:b/>
          <w:color w:val="525F6F"/>
          <w:sz w:val="18"/>
        </w:rPr>
        <w:t xml:space="preserve">常识 GENERAL  </w:t>
      </w:r>
      <w:r>
        <w:rPr>
          <w:sz w:val="20"/>
        </w:rPr>
        <w:t>T-DXd payload is DXd, a topoisomerase I inhibitor exatecan derivative</w:t>
      </w:r>
      <w:r>
        <w:rPr>
          <w:color w:val="525F6F"/>
          <w:sz w:val="16"/>
        </w:rPr>
        <w:t xml:space="preserve">  — flagged general knowledge</w:t>
      </w:r>
    </w:p>
    <w:p>
      <w:pPr>
        <w:pStyle w:val="ListBullet"/>
      </w:pPr>
      <w:r>
        <w:rPr>
          <w:b/>
          <w:color w:val="525F6F"/>
          <w:sz w:val="18"/>
        </w:rPr>
        <w:t xml:space="preserve">常识 GENERAL  </w:t>
      </w:r>
      <w:r>
        <w:rPr>
          <w:sz w:val="20"/>
        </w:rPr>
        <w:t>T-DXd DAR is approximately 8</w:t>
      </w:r>
      <w:r>
        <w:rPr>
          <w:color w:val="525F6F"/>
          <w:sz w:val="16"/>
        </w:rPr>
        <w:t xml:space="preserve">  — flagged general knowledge</w:t>
      </w:r>
    </w:p>
    <w:p>
      <w:pPr>
        <w:pStyle w:val="ListBullet"/>
      </w:pPr>
      <w:r>
        <w:rPr>
          <w:b/>
          <w:color w:val="525F6F"/>
          <w:sz w:val="18"/>
        </w:rPr>
        <w:t xml:space="preserve">常识 GENERAL  </w:t>
      </w:r>
      <w:r>
        <w:rPr>
          <w:sz w:val="20"/>
        </w:rPr>
        <w:t>DESTINY-Breast04 established T-DXd survival benefit in HER2-low metastatic breast cancer</w:t>
      </w:r>
      <w:r>
        <w:rPr>
          <w:color w:val="525F6F"/>
          <w:sz w:val="16"/>
        </w:rPr>
        <w:t xml:space="preserve">  — flagged general knowledge; evidence confirms trial exists/phase III</w:t>
      </w:r>
    </w:p>
    <w:p>
      <w:pPr>
        <w:pStyle w:val="ListBullet"/>
      </w:pPr>
      <w:r>
        <w:rPr>
          <w:b/>
          <w:color w:val="525F6F"/>
          <w:sz w:val="18"/>
        </w:rPr>
        <w:t xml:space="preserve">常识 GENERAL  </w:t>
      </w:r>
      <w:r>
        <w:rPr>
          <w:sz w:val="20"/>
        </w:rPr>
        <w:t>DESTINY-Breast06 extends into HER2-ultralow (IHC 0 with incomplete staining)</w:t>
      </w:r>
      <w:r>
        <w:rPr>
          <w:color w:val="525F6F"/>
          <w:sz w:val="16"/>
        </w:rPr>
        <w:t xml:space="preserve">  — flagged; not in evidence values</w:t>
      </w:r>
    </w:p>
    <w:p>
      <w:pPr>
        <w:pStyle w:val="ListBullet"/>
      </w:pPr>
      <w:r>
        <w:rPr>
          <w:b/>
          <w:color w:val="525F6F"/>
          <w:sz w:val="18"/>
        </w:rPr>
        <w:t xml:space="preserve">常识 GENERAL  </w:t>
      </w:r>
      <w:r>
        <w:rPr>
          <w:sz w:val="20"/>
        </w:rPr>
        <w:t>FDA approval in HER2-low mBC granted August 2022</w:t>
      </w:r>
      <w:r>
        <w:rPr>
          <w:color w:val="525F6F"/>
          <w:sz w:val="16"/>
        </w:rPr>
        <w:t xml:space="preserve">  — flagged general knowledge, not tool-verified</w:t>
      </w:r>
    </w:p>
    <w:p>
      <w:pPr>
        <w:pStyle w:val="ListBullet"/>
      </w:pPr>
      <w:r>
        <w:rPr>
          <w:b/>
          <w:color w:val="525F6F"/>
          <w:sz w:val="18"/>
        </w:rPr>
        <w:t xml:space="preserve">常识 GENERAL  </w:t>
      </w:r>
      <w:r>
        <w:rPr>
          <w:sz w:val="20"/>
        </w:rPr>
        <w:t>EMA approval in HER2-low mBC granted</w:t>
      </w:r>
      <w:r>
        <w:rPr>
          <w:color w:val="525F6F"/>
          <w:sz w:val="16"/>
        </w:rPr>
        <w:t xml:space="preserve">  — flagged general knowledge</w:t>
      </w:r>
    </w:p>
    <w:p>
      <w:pPr>
        <w:pStyle w:val="ListBullet"/>
      </w:pPr>
      <w:r>
        <w:rPr>
          <w:b/>
          <w:color w:val="525F6F"/>
          <w:sz w:val="18"/>
        </w:rPr>
        <w:t xml:space="preserve">常识 GENERAL  </w:t>
      </w:r>
      <w:r>
        <w:rPr>
          <w:sz w:val="20"/>
        </w:rPr>
        <w:t>PMDA approval granted</w:t>
      </w:r>
      <w:r>
        <w:rPr>
          <w:color w:val="525F6F"/>
          <w:sz w:val="16"/>
        </w:rPr>
        <w:t xml:space="preserve">  — flagged general knowledge</w:t>
      </w:r>
    </w:p>
    <w:p>
      <w:pPr>
        <w:pStyle w:val="ListBullet"/>
      </w:pPr>
      <w:r>
        <w:rPr>
          <w:b/>
          <w:color w:val="525F6F"/>
          <w:sz w:val="18"/>
        </w:rPr>
        <w:t xml:space="preserve">常识 GENERAL  </w:t>
      </w:r>
      <w:r>
        <w:rPr>
          <w:sz w:val="20"/>
        </w:rPr>
        <w:t>T-DM1 payload is DM1 (maytansinoid) via non-cleavable SMCC linker, DAR ~3.5</w:t>
      </w:r>
      <w:r>
        <w:rPr>
          <w:color w:val="525F6F"/>
          <w:sz w:val="16"/>
        </w:rPr>
        <w:t xml:space="preserve">  — flagged general knowledge; answer erroneously calls DM1 'DXd-class' but tags general</w:t>
      </w:r>
    </w:p>
    <w:p>
      <w:pPr>
        <w:pStyle w:val="ListBullet"/>
      </w:pPr>
      <w:r>
        <w:rPr>
          <w:b/>
          <w:color w:val="525F6F"/>
          <w:sz w:val="18"/>
        </w:rPr>
        <w:t xml:space="preserve">常识 GENERAL  </w:t>
      </w:r>
      <w:r>
        <w:rPr>
          <w:sz w:val="20"/>
        </w:rPr>
        <w:t>T-DM1 failed in HER2-low in MARIANNE trial and is not approved in HER2-low</w:t>
      </w:r>
      <w:r>
        <w:rPr>
          <w:color w:val="525F6F"/>
          <w:sz w:val="16"/>
        </w:rPr>
        <w:t xml:space="preserve">  — flagged general knowledge</w:t>
      </w:r>
    </w:p>
    <w:p>
      <w:pPr>
        <w:pStyle w:val="ListBullet"/>
      </w:pPr>
      <w:r>
        <w:rPr>
          <w:b/>
          <w:color w:val="525F6F"/>
          <w:sz w:val="18"/>
        </w:rPr>
        <w:t xml:space="preserve">常识 GENERAL  </w:t>
      </w:r>
      <w:r>
        <w:rPr>
          <w:sz w:val="20"/>
        </w:rPr>
        <w:t>Disitamab vedotin (RC48) is anti-HER2 ADC with MMAE payload, DAR ~4</w:t>
      </w:r>
      <w:r>
        <w:rPr>
          <w:color w:val="525F6F"/>
          <w:sz w:val="16"/>
        </w:rPr>
        <w:t xml:space="preserve">  — flagged general knowledge</w:t>
      </w:r>
    </w:p>
    <w:p>
      <w:pPr>
        <w:pStyle w:val="ListBullet"/>
      </w:pPr>
      <w:r>
        <w:rPr>
          <w:b/>
          <w:color w:val="525F6F"/>
          <w:sz w:val="18"/>
        </w:rPr>
        <w:t xml:space="preserve">常识 GENERAL  </w:t>
      </w:r>
      <w:r>
        <w:rPr>
          <w:sz w:val="20"/>
        </w:rPr>
        <w:t>RC48 approved in China by NMPA for HER2+ gastric/GEJ cancer</w:t>
      </w:r>
      <w:r>
        <w:rPr>
          <w:color w:val="525F6F"/>
          <w:sz w:val="16"/>
        </w:rPr>
        <w:t xml:space="preserve">  — flagged general knowledge</w:t>
      </w:r>
    </w:p>
    <w:p>
      <w:pPr>
        <w:pStyle w:val="ListBullet"/>
      </w:pPr>
      <w:r>
        <w:rPr>
          <w:b/>
          <w:color w:val="525F6F"/>
          <w:sz w:val="18"/>
        </w:rPr>
        <w:t xml:space="preserve">常识 GENERAL  </w:t>
      </w:r>
      <w:r>
        <w:rPr>
          <w:sz w:val="20"/>
        </w:rPr>
        <w:t>SYD985 (trastuzumab duocarmazine) has duocarmycin payload seco-DUBA, DAR ~2.8</w:t>
      </w:r>
      <w:r>
        <w:rPr>
          <w:color w:val="525F6F"/>
          <w:sz w:val="16"/>
        </w:rPr>
        <w:t xml:space="preserve">  — flagged general knowledge</w:t>
      </w:r>
    </w:p>
    <w:p>
      <w:pPr>
        <w:pStyle w:val="ListBullet"/>
      </w:pPr>
      <w:r>
        <w:rPr>
          <w:b/>
          <w:color w:val="525F6F"/>
          <w:sz w:val="18"/>
        </w:rPr>
        <w:t xml:space="preserve">常识 GENERAL  </w:t>
      </w:r>
      <w:r>
        <w:rPr>
          <w:sz w:val="20"/>
        </w:rPr>
        <w:t>SYD985 evaluated in Phase III TULIP trial in HER2+ mBC</w:t>
      </w:r>
      <w:r>
        <w:rPr>
          <w:color w:val="525F6F"/>
          <w:sz w:val="16"/>
        </w:rPr>
        <w:t xml:space="preserve">  — flagged general knowledge</w:t>
      </w:r>
    </w:p>
    <w:p>
      <w:pPr>
        <w:pStyle w:val="ListBullet"/>
      </w:pPr>
      <w:r>
        <w:rPr>
          <w:b/>
          <w:color w:val="525F6F"/>
          <w:sz w:val="18"/>
        </w:rPr>
        <w:t xml:space="preserve">常识 GENERAL  </w:t>
      </w:r>
      <w:r>
        <w:rPr>
          <w:sz w:val="20"/>
        </w:rPr>
        <w:t>ARX788 uses unnatural amino acid conjugation, homogeneous DAR ~1.9, non-cleavable auristatin-F (AS269)</w:t>
      </w:r>
      <w:r>
        <w:rPr>
          <w:color w:val="525F6F"/>
          <w:sz w:val="16"/>
        </w:rPr>
        <w:t xml:space="preserve">  — flagged general knowledge</w:t>
      </w:r>
    </w:p>
    <w:p>
      <w:pPr>
        <w:pStyle w:val="ListBullet"/>
      </w:pPr>
      <w:r>
        <w:rPr>
          <w:b/>
          <w:color w:val="525F6F"/>
          <w:sz w:val="18"/>
        </w:rPr>
        <w:t xml:space="preserve">常识 GENERAL  </w:t>
      </w:r>
      <w:r>
        <w:rPr>
          <w:sz w:val="20"/>
        </w:rPr>
        <w:t>BAT8001 uses trastuzumab biosimilar + maytansinoid via non-cleavable linker</w:t>
      </w:r>
      <w:r>
        <w:rPr>
          <w:color w:val="525F6F"/>
          <w:sz w:val="16"/>
        </w:rPr>
        <w:t xml:space="preserve">  — flagged general knowledge</w:t>
      </w:r>
    </w:p>
    <w:p>
      <w:pPr>
        <w:pStyle w:val="ListBullet"/>
      </w:pPr>
      <w:r>
        <w:rPr>
          <w:b/>
          <w:color w:val="525F6F"/>
          <w:sz w:val="18"/>
        </w:rPr>
        <w:t xml:space="preserve">常识 GENERAL  </w:t>
      </w:r>
      <w:r>
        <w:rPr>
          <w:sz w:val="20"/>
        </w:rPr>
        <w:t>IHC 1+ is faint/barely perceptible incomplete membrane staining in &gt;10% of tumor cells</w:t>
      </w:r>
      <w:r>
        <w:rPr>
          <w:color w:val="525F6F"/>
          <w:sz w:val="16"/>
        </w:rPr>
        <w:t xml:space="preserve">  — ASCO/CAP definition, standard knowledge consistent with evidence</w:t>
      </w:r>
    </w:p>
    <w:p>
      <w:pPr>
        <w:pStyle w:val="ListBullet"/>
      </w:pPr>
      <w:r>
        <w:rPr>
          <w:b/>
          <w:color w:val="525F6F"/>
          <w:sz w:val="18"/>
        </w:rPr>
        <w:t xml:space="preserve">常识 GENERAL  </w:t>
      </w:r>
      <w:r>
        <w:rPr>
          <w:sz w:val="20"/>
        </w:rPr>
        <w:t>T-DXd approval forced reconceptualization of HER2 binary into a continuous spectrum giving rise to HER2-low</w:t>
      </w:r>
      <w:r>
        <w:rPr>
          <w:color w:val="525F6F"/>
          <w:sz w:val="16"/>
        </w:rPr>
        <w:t xml:space="preserve">  — background framing consistent with PMID 42041700/41595172</w:t>
      </w:r>
    </w:p>
    <w:p>
      <w:pPr>
        <w:pStyle w:val="ListBullet"/>
      </w:pPr>
      <w:r>
        <w:rPr>
          <w:b/>
          <w:color w:val="525F6F"/>
          <w:sz w:val="18"/>
        </w:rPr>
        <w:t xml:space="preserve">常识 GENERAL  </w:t>
      </w:r>
      <w:r>
        <w:rPr>
          <w:sz w:val="20"/>
        </w:rPr>
        <w:t>Pathologist agreement (Cohen's kappa) for IHC 0 vs 1+ is substantially lower than IHC 2+ vs 3+</w:t>
      </w:r>
      <w:r>
        <w:rPr>
          <w:color w:val="525F6F"/>
          <w:sz w:val="16"/>
        </w:rPr>
        <w:t xml:space="preserve">  — answer flags as general knowledge, not tool-verified; consistent with evidence theme</w:t>
      </w:r>
    </w:p>
    <w:p>
      <w:pPr>
        <w:pStyle w:val="ListBullet"/>
      </w:pPr>
      <w:r>
        <w:rPr>
          <w:b/>
          <w:color w:val="525F6F"/>
          <w:sz w:val="18"/>
        </w:rPr>
        <w:t xml:space="preserve">常识 GENERAL  </w:t>
      </w:r>
      <w:r>
        <w:rPr>
          <w:sz w:val="20"/>
        </w:rPr>
        <w:t>ISH plays confirmatory rather than primary role; reflex testing for IHC 2+ cases</w:t>
      </w:r>
      <w:r>
        <w:rPr>
          <w:color w:val="525F6F"/>
          <w:sz w:val="16"/>
        </w:rPr>
        <w:t xml:space="preserve">  — standard ASCO/CAP practice consistent with HER2-low definitions in evidence</w:t>
      </w:r>
    </w:p>
    <w:p>
      <w:pPr>
        <w:pStyle w:val="ListBullet"/>
      </w:pPr>
      <w:r>
        <w:rPr>
          <w:b/>
          <w:color w:val="525F6F"/>
          <w:sz w:val="18"/>
        </w:rPr>
        <w:t xml:space="preserve">常识 GENERAL  </w:t>
      </w:r>
      <w:r>
        <w:rPr>
          <w:sz w:val="20"/>
        </w:rPr>
        <w:t>ISH measures gene copy number and cannot distinguish IHC 0 from IHC 1+ protein staining</w:t>
      </w:r>
      <w:r>
        <w:rPr>
          <w:color w:val="525F6F"/>
          <w:sz w:val="16"/>
        </w:rPr>
        <w:t xml:space="preserve">  — mechanistic background, plausible and consistent</w:t>
      </w:r>
    </w:p>
    <w:p>
      <w:pPr>
        <w:pStyle w:val="ListBullet"/>
      </w:pPr>
      <w:r>
        <w:rPr>
          <w:b/>
          <w:color w:val="525F6F"/>
          <w:sz w:val="18"/>
        </w:rPr>
        <w:t xml:space="preserve">常识 GENERAL  </w:t>
      </w:r>
      <w:r>
        <w:rPr>
          <w:sz w:val="20"/>
        </w:rPr>
        <w:t>PATHWAY 4B5 is a rabbit monoclonal antibody-based IHC assay run on VENTANA BenchMark platform</w:t>
      </w:r>
      <w:r>
        <w:rPr>
          <w:color w:val="525F6F"/>
          <w:sz w:val="16"/>
        </w:rPr>
        <w:t xml:space="preserve">  — assay specifics not in evidence; general product knowledge, no contradiction</w:t>
      </w:r>
    </w:p>
    <w:p>
      <w:pPr>
        <w:pStyle w:val="ListBullet"/>
      </w:pPr>
      <w:r>
        <w:rPr>
          <w:b/>
          <w:color w:val="525F6F"/>
          <w:sz w:val="18"/>
        </w:rPr>
        <w:t xml:space="preserve">常识 GENERAL  </w:t>
      </w:r>
      <w:r>
        <w:rPr>
          <w:sz w:val="20"/>
        </w:rPr>
        <w:t>DAKO HercepTest (Agilent) is the other major HER2 IHC assay</w:t>
      </w:r>
      <w:r>
        <w:rPr>
          <w:color w:val="525F6F"/>
          <w:sz w:val="16"/>
        </w:rPr>
        <w:t xml:space="preserve">  — not in evidence; general knowledge, answer flags CDx status not retrieved</w:t>
      </w:r>
    </w:p>
    <w:p>
      <w:pPr>
        <w:pStyle w:val="ListBullet"/>
      </w:pPr>
      <w:r>
        <w:rPr>
          <w:b/>
          <w:color w:val="525F6F"/>
          <w:sz w:val="18"/>
        </w:rPr>
        <w:t xml:space="preserve">常识 GENERAL  </w:t>
      </w:r>
      <w:r>
        <w:rPr>
          <w:sz w:val="20"/>
        </w:rPr>
        <w:t>Approximately 45-55% of breast cancers are HER2-low</w:t>
      </w:r>
      <w:r>
        <w:rPr>
          <w:color w:val="525F6F"/>
          <w:sz w:val="16"/>
        </w:rPr>
        <w:t xml:space="preserve">  — answer explicitly flags as not tool-verified general knowledge; not retrieved in evidence</w:t>
      </w:r>
    </w:p>
    <w:p>
      <w:pPr>
        <w:pStyle w:val="ListBullet"/>
      </w:pPr>
      <w:r>
        <w:rPr>
          <w:b/>
          <w:color w:val="525F6F"/>
          <w:sz w:val="18"/>
        </w:rPr>
        <w:t xml:space="preserve">常识 GENERAL  </w:t>
      </w:r>
      <w:r>
        <w:rPr>
          <w:sz w:val="20"/>
        </w:rPr>
        <w:t>TNBC later-line options include PARP inhibitors, sacituzumab govitecan (Trop-2 ADC), pembrolizumab</w:t>
      </w:r>
      <w:r>
        <w:rPr>
          <w:color w:val="525F6F"/>
          <w:sz w:val="16"/>
        </w:rPr>
        <w:t xml:space="preserve">  — treatment landscape background, not in evidence but standard knowledge, no contradiction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D948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F172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D948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F172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uniprot.org/uniprotkb/P04626" TargetMode="External"/><Relationship Id="rId10" Type="http://schemas.openxmlformats.org/officeDocument/2006/relationships/hyperlink" Target="https://www.ensembl.org/Homo_sapiens/Gene/Summary?g=ENSG00000141736" TargetMode="External"/><Relationship Id="rId11" Type="http://schemas.openxmlformats.org/officeDocument/2006/relationships/hyperlink" Target="https://clinicaltrials.gov/study/NCT03734029" TargetMode="External"/><Relationship Id="rId12" Type="http://schemas.openxmlformats.org/officeDocument/2006/relationships/hyperlink" Target="https://clinicaltrials.gov/study/NCT04494425" TargetMode="External"/><Relationship Id="rId13" Type="http://schemas.openxmlformats.org/officeDocument/2006/relationships/hyperlink" Target="https://www.ebi.ac.uk/chembl/compound_report_card/CHEMBL1824/" TargetMode="External"/><Relationship Id="rId14" Type="http://schemas.openxmlformats.org/officeDocument/2006/relationships/hyperlink" Target="https://clinicaltrials.gov/study/NCT04042701" TargetMode="External"/><Relationship Id="rId15" Type="http://schemas.openxmlformats.org/officeDocument/2006/relationships/hyperlink" Target="https://pubmed.ncbi.nlm.nih.gov/41446275/" TargetMode="External"/><Relationship Id="rId16" Type="http://schemas.openxmlformats.org/officeDocument/2006/relationships/hyperlink" Target="https://pubmed.ncbi.nlm.nih.gov/42041700/" TargetMode="External"/><Relationship Id="rId17" Type="http://schemas.openxmlformats.org/officeDocument/2006/relationships/hyperlink" Target="https://pubmed.ncbi.nlm.nih.gov/41101156/" TargetMode="External"/><Relationship Id="rId18" Type="http://schemas.openxmlformats.org/officeDocument/2006/relationships/hyperlink" Target="https://pubmed.ncbi.nlm.nih.gov/41239655/" TargetMode="External"/><Relationship Id="rId19" Type="http://schemas.openxmlformats.org/officeDocument/2006/relationships/hyperlink" Target="https://clinicaltrials.gov/study/NCT05945732" TargetMode="External"/><Relationship Id="rId20" Type="http://schemas.openxmlformats.org/officeDocument/2006/relationships/hyperlink" Target="https://clinicaltrials.gov/study/NCT07150208" TargetMode="External"/><Relationship Id="rId21" Type="http://schemas.openxmlformats.org/officeDocument/2006/relationships/hyperlink" Target="https://clinicaltrials.gov/study/NCT04553770" TargetMode="External"/><Relationship Id="rId22" Type="http://schemas.openxmlformats.org/officeDocument/2006/relationships/hyperlink" Target="https://pubmed.ncbi.nlm.nih.gov/41103138/" TargetMode="External"/><Relationship Id="rId23" Type="http://schemas.openxmlformats.org/officeDocument/2006/relationships/hyperlink" Target="https://pubmed.ncbi.nlm.nih.gov/41033579/" TargetMode="External"/><Relationship Id="rId24" Type="http://schemas.openxmlformats.org/officeDocument/2006/relationships/hyperlink" Target="https://pubmed.ncbi.nlm.nih.gov/40441445/" TargetMode="External"/><Relationship Id="rId25" Type="http://schemas.openxmlformats.org/officeDocument/2006/relationships/hyperlink" Target="https://pubmed.ncbi.nlm.nih.gov/377708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